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E" w:rsidRDefault="003429D5" w:rsidP="00030844">
      <w:pPr>
        <w:pStyle w:val="Ttulo1"/>
        <w:pBdr>
          <w:top w:val="single" w:sz="2" w:space="0" w:color="4F81BD"/>
        </w:pBdr>
        <w:tabs>
          <w:tab w:val="left" w:pos="284"/>
        </w:tabs>
      </w:pPr>
      <w:r>
        <w:t>seguimiento de noticias de regulación internacional</w:t>
      </w:r>
    </w:p>
    <w:p w:rsidR="003429D5" w:rsidRDefault="00511A5E" w:rsidP="003429D5">
      <w:pPr>
        <w:jc w:val="center"/>
      </w:pPr>
      <w:r>
        <w:t>Noviembre</w:t>
      </w:r>
      <w:r w:rsidR="003429D5">
        <w:t>-</w:t>
      </w:r>
      <w:r>
        <w:t>diciembre</w:t>
      </w:r>
      <w:r w:rsidR="003429D5">
        <w:t xml:space="preserve"> 2011</w:t>
      </w:r>
    </w:p>
    <w:p w:rsidR="0083462B" w:rsidRPr="007765B4" w:rsidRDefault="003429D5" w:rsidP="007765B4">
      <w:pPr>
        <w:pStyle w:val="Ttulo2"/>
      </w:pPr>
      <w:r>
        <w:t>sumario</w:t>
      </w:r>
      <w:r w:rsidR="006A3909" w:rsidRPr="007765B4">
        <w:t xml:space="preserve">                                                                                                         </w:t>
      </w:r>
    </w:p>
    <w:p w:rsidR="00511A5E" w:rsidRPr="00511A5E" w:rsidRDefault="00511A5E" w:rsidP="00511A5E">
      <w:pPr>
        <w:spacing w:before="100" w:beforeAutospacing="1" w:after="100" w:afterAutospacing="1" w:line="276" w:lineRule="auto"/>
        <w:rPr>
          <w:lang w:val="es-ES_tradnl"/>
        </w:rPr>
      </w:pPr>
      <w:r w:rsidRPr="00511A5E">
        <w:rPr>
          <w:lang w:val="es-ES_tradnl"/>
        </w:rPr>
        <w:t xml:space="preserve">Se resumen las noticias sobre distintas iniciativas y novedades regulatorias dadas a conocer a lo largo del último bimestre del año 2011. En esta ocasión retomamos las discusiones del Congreso </w:t>
      </w:r>
      <w:proofErr w:type="gramStart"/>
      <w:r w:rsidRPr="00511A5E">
        <w:rPr>
          <w:lang w:val="es-ES_tradnl"/>
        </w:rPr>
        <w:t>norteamericano</w:t>
      </w:r>
      <w:proofErr w:type="gramEnd"/>
      <w:r w:rsidRPr="00511A5E">
        <w:rPr>
          <w:lang w:val="es-ES_tradnl"/>
        </w:rPr>
        <w:t xml:space="preserve"> sobre la gestión del déficit fiscal y su efecto sobre la posible extensión del apoyo federal a las renovables. Asimismo comentamos el inicio de la Presidencia Danesa de la UE que se centrará, entre otros temas, en Directiva de Eficiencia energética, en la Hoja de Ruta Energética 2050 y el paquete de Infraestructuras energéticas.</w:t>
      </w:r>
    </w:p>
    <w:p w:rsidR="00511A5E" w:rsidRPr="00511A5E" w:rsidRDefault="00511A5E" w:rsidP="00511A5E">
      <w:pPr>
        <w:spacing w:before="100" w:beforeAutospacing="1" w:after="100" w:afterAutospacing="1" w:line="276" w:lineRule="auto"/>
        <w:rPr>
          <w:lang w:val="es-ES_tradnl"/>
        </w:rPr>
      </w:pPr>
      <w:r w:rsidRPr="00511A5E">
        <w:rPr>
          <w:lang w:val="es-ES_tradnl"/>
        </w:rPr>
        <w:t>Por otro lado se describen algunos ajustes en las tarifas y en la retribución de las inversiones en redes de diversos países europeos así como noticias ilustrativas del debate nuclear en el viejo continente. Es también interesante la polémica sobre la renovación del parque de generación norteamericano derivada de la implantación de la nueva normativa medioambiental federal.</w:t>
      </w:r>
    </w:p>
    <w:p w:rsidR="000322F5" w:rsidRDefault="00511A5E" w:rsidP="003429D5">
      <w:pPr>
        <w:spacing w:before="100" w:beforeAutospacing="1" w:after="100" w:afterAutospacing="1" w:line="276" w:lineRule="auto"/>
      </w:pPr>
      <w:r w:rsidRPr="00511A5E">
        <w:rPr>
          <w:lang w:val="es-ES_tradnl"/>
        </w:rPr>
        <w:t>Se introduce al final de documento un glosario para mejor comprensión de las abreviaturas y acrónimos empleados.</w:t>
      </w:r>
    </w:p>
    <w:p w:rsidR="000322F5" w:rsidRDefault="000322F5" w:rsidP="003429D5">
      <w:pPr>
        <w:pStyle w:val="Ttulo2"/>
      </w:pPr>
      <w:r>
        <w:t>Temas de fondo</w:t>
      </w:r>
    </w:p>
    <w:p w:rsidR="00E05893" w:rsidRDefault="00E05893" w:rsidP="003429D5">
      <w:pPr>
        <w:spacing w:before="100" w:beforeAutospacing="1" w:after="100" w:afterAutospacing="1" w:line="276" w:lineRule="auto"/>
        <w:rPr>
          <w:rFonts w:eastAsiaTheme="majorEastAsia" w:cstheme="majorBidi"/>
          <w:b/>
          <w:bCs/>
          <w:i/>
        </w:rPr>
      </w:pPr>
      <w:r w:rsidRPr="00E05893">
        <w:rPr>
          <w:rFonts w:eastAsiaTheme="majorEastAsia" w:cstheme="majorBidi"/>
          <w:b/>
          <w:bCs/>
          <w:i/>
        </w:rPr>
        <w:t>Iniciativas parlamentarias sobre el déficit fiscal en EE.UU. y posible extensión de los PTC:</w:t>
      </w:r>
    </w:p>
    <w:p w:rsidR="00E05893" w:rsidRDefault="00E05893" w:rsidP="00E05893">
      <w:pPr>
        <w:spacing w:before="100" w:beforeAutospacing="1" w:after="100" w:afterAutospacing="1" w:line="276" w:lineRule="auto"/>
      </w:pPr>
      <w:r>
        <w:t>El comité del Congreso creado en septiembre para proponer legislación destinada a reducir el déficit fiscal, anunció a mediados de noviembre que no sería capaz de llegar a un acuerdo en la fecha prevista (23 de Noviembre). Este comité, formado por 6 republicanos y 6 demócratas de ambas cámaras a partes iguales, fue acordado tras la aprobación parlamentaria “in extremis” el 2 de agosto para elevar el techo de la deuda para evitar la suspensión de pagos de EE.UU. El objetivo del comité era la elaboración de una propuesta que redujera el déficit en al menos 1,2 billones USD en los próximos 10 años.</w:t>
      </w:r>
    </w:p>
    <w:p w:rsidR="00E05893" w:rsidRDefault="00E05893" w:rsidP="00E05893">
      <w:pPr>
        <w:spacing w:before="100" w:beforeAutospacing="1" w:after="100" w:afterAutospacing="1" w:line="276" w:lineRule="auto"/>
      </w:pPr>
      <w:r>
        <w:t>Al no haberse llegado a un acuerdo, el gasto de la mayoría de los programas gubernamentales deberá decrecer proporcionalmente año a año entre enero de 2013 y 2022 mediante un sistema que reduzca a la mitad los programas de defensa y el resto de los programas. Ente estos últimos se encuentran programas sociales o reducciones fiscales. El Congreso podría intervenir anticipadamente cada año para modificar, ajustar o anular las reducciones propuestas.</w:t>
      </w:r>
    </w:p>
    <w:p w:rsidR="00E05893" w:rsidRDefault="00E05893" w:rsidP="00E05893">
      <w:pPr>
        <w:spacing w:before="100" w:beforeAutospacing="1" w:after="100" w:afterAutospacing="1" w:line="276" w:lineRule="auto"/>
      </w:pPr>
      <w:r>
        <w:t>Esta medida no afectaría el programa en vigor de apoyo federal a las energías renovables a través de PTC (</w:t>
      </w:r>
      <w:proofErr w:type="spellStart"/>
      <w:r>
        <w:t>production</w:t>
      </w:r>
      <w:proofErr w:type="spellEnd"/>
      <w:r>
        <w:t xml:space="preserve"> </w:t>
      </w:r>
      <w:proofErr w:type="spellStart"/>
      <w:r>
        <w:t>tax</w:t>
      </w:r>
      <w:proofErr w:type="spellEnd"/>
      <w:r>
        <w:t xml:space="preserve"> </w:t>
      </w:r>
      <w:proofErr w:type="spellStart"/>
      <w:r>
        <w:t>credits</w:t>
      </w:r>
      <w:proofErr w:type="spellEnd"/>
      <w:r>
        <w:t xml:space="preserve">). Los proyectos cuya construcción empiece en 2011 y entren en funcionamiento en 2012 puede que sí se vean afectados, pero como la mayoría de los proyectos eólicos, </w:t>
      </w:r>
      <w:r>
        <w:lastRenderedPageBreak/>
        <w:t>para poder disfrutar de las ayudas, deben estar en marcha antes del 31 de diciembre de 2012, la reducción de los programas tendrá mayor impacto en solar, geotérmica y biomasa que entren en funcionamiento a partir de 2013.</w:t>
      </w:r>
    </w:p>
    <w:p w:rsidR="00E05893" w:rsidRDefault="00E05893" w:rsidP="00E05893">
      <w:pPr>
        <w:spacing w:before="100" w:beforeAutospacing="1" w:after="100" w:afterAutospacing="1" w:line="276" w:lineRule="auto"/>
      </w:pPr>
      <w:r>
        <w:t>Sin embargo a finales de diciembre y tras una enorme presión recibida, los republicanos de la cámara de Representantes convalidaron la extensión hasta febrero de 2012 aprobada por el Senado de determinados beneficios fiscales, que incluyen: 1) una rebaja del impuesto sobre la renta personal federal; 2) beneficios para desempleados de larga duración; 3) un programa de ayuda a gastos médicos. Este acuerdo supone el nombramiento de una comisión parlamentaria para establecer la posible extensión de estos beneficios para el resto del año. Ello podría conllevar la discusión sobre la extensión de otras medidas de apoyo fiscal, incluyendo los PTC que para las nuevas eólicas expiran en diciembre de 2012. No obstante, debe recordarse que una vez nombrado el candidato republicano, es dudoso que se reabra el debate parlamentario sobre los subsidios a las renovables, hasta la elección del nuevo presidente, por lo que el acuerdo sobre los PTC debería producirse en los dos primeros meses.</w:t>
      </w:r>
    </w:p>
    <w:p w:rsidR="003429D5" w:rsidRDefault="00E05893" w:rsidP="000322F5">
      <w:pPr>
        <w:rPr>
          <w:b/>
          <w:color w:val="008000"/>
          <w:sz w:val="22"/>
        </w:rPr>
      </w:pPr>
      <w:r w:rsidRPr="00E05893">
        <w:rPr>
          <w:rStyle w:val="Ttulo3Car"/>
        </w:rPr>
        <w:t xml:space="preserve">Programa de la nueva </w:t>
      </w:r>
      <w:r>
        <w:rPr>
          <w:rStyle w:val="Ttulo3Car"/>
        </w:rPr>
        <w:t>Presidencia de la Unión Europea</w:t>
      </w:r>
      <w:r w:rsidR="000322F5" w:rsidRPr="003429D5">
        <w:rPr>
          <w:rStyle w:val="Ttulo3Car"/>
        </w:rPr>
        <w:t>:</w:t>
      </w:r>
      <w:r w:rsidR="000322F5">
        <w:rPr>
          <w:b/>
          <w:color w:val="008000"/>
          <w:sz w:val="22"/>
        </w:rPr>
        <w:t xml:space="preserve"> </w:t>
      </w:r>
    </w:p>
    <w:p w:rsidR="00E05893" w:rsidRDefault="00E05893" w:rsidP="00E05893">
      <w:pPr>
        <w:shd w:val="clear" w:color="auto" w:fill="FFFFFF"/>
        <w:spacing w:before="100" w:beforeAutospacing="1" w:after="100" w:afterAutospacing="1" w:line="276" w:lineRule="auto"/>
      </w:pPr>
      <w:r>
        <w:t xml:space="preserve">Dinamarca, que ostentará la presidencia para el primer semestre de 2012 ha publicado sus prioridades centrándose en cuatro grandes áreas de actuación: Una Europa responsable, dirigida a fomentar la estabilidad económica; </w:t>
      </w:r>
      <w:r w:rsidRPr="00E05893">
        <w:rPr>
          <w:u w:val="single"/>
        </w:rPr>
        <w:t>Una Europa dinámica</w:t>
      </w:r>
      <w:r>
        <w:t xml:space="preserve">, centrada en impulsar el mercado interior como mecanismo para crear puestos de trabajo; </w:t>
      </w:r>
      <w:r w:rsidRPr="00E05893">
        <w:rPr>
          <w:u w:val="single"/>
        </w:rPr>
        <w:t>Una Europa verde</w:t>
      </w:r>
      <w:r>
        <w:t xml:space="preserve">, centrada en los temas medioambientales y energéticos; </w:t>
      </w:r>
      <w:r w:rsidRPr="00E05893">
        <w:rPr>
          <w:u w:val="single"/>
        </w:rPr>
        <w:t>Una Europa segura</w:t>
      </w:r>
      <w:r>
        <w:t>,</w:t>
      </w:r>
      <w:r w:rsidRPr="00E05893">
        <w:rPr>
          <w:szCs w:val="20"/>
        </w:rPr>
        <w:t xml:space="preserve"> </w:t>
      </w:r>
      <w:r>
        <w:rPr>
          <w:szCs w:val="20"/>
        </w:rPr>
        <w:t>sobre relaciones internacionales.</w:t>
      </w:r>
    </w:p>
    <w:p w:rsidR="00E67527" w:rsidRDefault="00E05893" w:rsidP="00E05893">
      <w:pPr>
        <w:shd w:val="clear" w:color="auto" w:fill="FFFFFF"/>
        <w:spacing w:before="100" w:beforeAutospacing="1" w:after="100" w:afterAutospacing="1" w:line="276" w:lineRule="auto"/>
      </w:pPr>
      <w:r>
        <w:t xml:space="preserve">Los temas energéticos se centrarán principalmente en la Directiva de Eficiencia energética, la Hoja de Ruta Energética 2050, el paquete de Infraestructuras energéticas, la Política Exterior, la seguridad del Gas y Petróleo Offshore y la Hoja de Ruta 2050 para una economía de bajo carbono. (EUE 18.11) </w:t>
      </w:r>
    </w:p>
    <w:p w:rsidR="00E05893" w:rsidRDefault="00E05893" w:rsidP="00E05893">
      <w:pPr>
        <w:shd w:val="clear" w:color="auto" w:fill="FFFFFF"/>
        <w:spacing w:before="100" w:beforeAutospacing="1" w:after="100" w:afterAutospacing="1" w:line="276" w:lineRule="auto"/>
      </w:pPr>
      <w:r>
        <w:t>Además la presidencia se propone mantener el liderazgo europeo en todas las negociaciones sobre cambio climático, impulsará el 7º Programa Marco de acción Medioambiental, promoverá trabajos sobre estrategia para la biodiversidad para 2020, impulsará medidas de eficiencia energética para cumplir el objetivo 20-20-20 y trabajará para asegurar hitos intermedios de cumplimiento de renovables, reducción de GEI y eficiencia energética.</w:t>
      </w:r>
    </w:p>
    <w:p w:rsidR="000322F5" w:rsidRPr="000C2356" w:rsidRDefault="000322F5" w:rsidP="003429D5">
      <w:pPr>
        <w:pStyle w:val="Ttulo2"/>
      </w:pPr>
      <w:r>
        <w:t>Otras cuestiones de interés</w:t>
      </w:r>
    </w:p>
    <w:p w:rsidR="000322F5" w:rsidRDefault="000322F5" w:rsidP="003429D5">
      <w:pPr>
        <w:pStyle w:val="Ttulo3"/>
        <w:rPr>
          <w:lang w:val="es-ES_tradnl"/>
        </w:rPr>
      </w:pPr>
      <w:r>
        <w:rPr>
          <w:lang w:val="es-ES_tradnl"/>
        </w:rPr>
        <w:t>Europa – Energías Renovables, emisiones, eficiencia y otros temas de medio ambiente</w:t>
      </w:r>
    </w:p>
    <w:p w:rsidR="00E05893" w:rsidRDefault="00E05893" w:rsidP="00E05893">
      <w:pPr>
        <w:numPr>
          <w:ilvl w:val="0"/>
          <w:numId w:val="2"/>
        </w:numPr>
        <w:spacing w:before="100" w:beforeAutospacing="1" w:line="276" w:lineRule="auto"/>
      </w:pPr>
      <w:r w:rsidRPr="00E05893">
        <w:rPr>
          <w:b/>
          <w:lang w:val="es-ES_tradnl"/>
        </w:rPr>
        <w:t xml:space="preserve">Según EURELECTRIC, los estados de la UE deberán trabajar juntos en el diseño de las políticas de renovables, </w:t>
      </w:r>
      <w:r w:rsidRPr="00E05893">
        <w:t>con un enfoque más centrado en el sistema de modo que se pueda gestionar mejor la generación renovable así como una mayor integración de mercados mayoristas, almacenamientos y redes. (EUE 18.11)</w:t>
      </w:r>
    </w:p>
    <w:p w:rsidR="00E05893" w:rsidRDefault="00E05893" w:rsidP="00E05893">
      <w:pPr>
        <w:numPr>
          <w:ilvl w:val="0"/>
          <w:numId w:val="2"/>
        </w:numPr>
        <w:spacing w:before="100" w:beforeAutospacing="1" w:line="276" w:lineRule="auto"/>
      </w:pPr>
      <w:r w:rsidRPr="00E05893">
        <w:rPr>
          <w:b/>
        </w:rPr>
        <w:t>El gobierno holandés recortará en 2012 el umbral a los subsidios de renovables</w:t>
      </w:r>
      <w:r w:rsidRPr="00E05893">
        <w:t>, pasando de 0,09</w:t>
      </w:r>
      <w:r w:rsidR="00E67527">
        <w:t xml:space="preserve"> </w:t>
      </w:r>
      <w:r w:rsidRPr="00E05893">
        <w:t>EUR/kWh a 0,07</w:t>
      </w:r>
      <w:r w:rsidR="00E67527">
        <w:t xml:space="preserve"> </w:t>
      </w:r>
      <w:r w:rsidRPr="00E05893">
        <w:t xml:space="preserve">EUR/kWh. Para el 2015 se destinarán 1.500 </w:t>
      </w:r>
      <w:proofErr w:type="spellStart"/>
      <w:r w:rsidRPr="00E05893">
        <w:t>Mill</w:t>
      </w:r>
      <w:proofErr w:type="spellEnd"/>
      <w:r w:rsidR="00E67527">
        <w:t>.</w:t>
      </w:r>
      <w:r w:rsidRPr="00E05893">
        <w:t xml:space="preserve"> EUR en subsidios, los cuales </w:t>
      </w:r>
      <w:r w:rsidRPr="00E05893">
        <w:lastRenderedPageBreak/>
        <w:t xml:space="preserve">estarán disponibles en distintas fases. El gas verde fue prioridad en 2011 y en 2012 los proyectos prioritarios serán aquellos basados en calor. (EUE 18.11) </w:t>
      </w:r>
    </w:p>
    <w:p w:rsidR="00E05893" w:rsidRPr="00E05893" w:rsidRDefault="00E05893" w:rsidP="00E05893">
      <w:pPr>
        <w:numPr>
          <w:ilvl w:val="0"/>
          <w:numId w:val="2"/>
        </w:numPr>
        <w:spacing w:before="100" w:beforeAutospacing="1" w:line="276" w:lineRule="auto"/>
      </w:pPr>
      <w:r w:rsidRPr="00E05893">
        <w:rPr>
          <w:b/>
        </w:rPr>
        <w:t xml:space="preserve">A pesar del acento puesto en las renovables por la política energética alemana, el Ministro alemán de economía plantea la construcción de centrales con combustibles fósiles en las ubicaciones de las nucleares. </w:t>
      </w:r>
      <w:r w:rsidRPr="00E05893">
        <w:t>Las infraestructuras de redes ya están construidas por lo que para hacer frente al gap de generación para 2020, serán necesarias nuevas centrales que puede que sean de combustibles fósiles. Alemania tiene en construcción 10</w:t>
      </w:r>
      <w:r w:rsidR="00E67527">
        <w:t xml:space="preserve"> </w:t>
      </w:r>
      <w:r w:rsidRPr="00E05893">
        <w:t>GW que se pondrán en marcha en 2012, pero aún son necesarios otros 10</w:t>
      </w:r>
      <w:r w:rsidR="00E67527">
        <w:t xml:space="preserve"> </w:t>
      </w:r>
      <w:r w:rsidRPr="00E05893">
        <w:t xml:space="preserve">GW para 2020. (GPR 24.11) </w:t>
      </w:r>
    </w:p>
    <w:p w:rsidR="00E05893" w:rsidRPr="00E05893" w:rsidRDefault="00E05893" w:rsidP="00E05893">
      <w:pPr>
        <w:numPr>
          <w:ilvl w:val="0"/>
          <w:numId w:val="2"/>
        </w:numPr>
        <w:spacing w:before="100" w:beforeAutospacing="1" w:line="276" w:lineRule="auto"/>
        <w:rPr>
          <w:b/>
        </w:rPr>
      </w:pPr>
      <w:r w:rsidRPr="00E05893">
        <w:rPr>
          <w:b/>
        </w:rPr>
        <w:t xml:space="preserve">El nuevo ministro de Medio Ambiente italiano ha declarado que el gobierno revisará los incentivos a la energía renovable de la energía solar y eólica, </w:t>
      </w:r>
      <w:r w:rsidRPr="00E05893">
        <w:t xml:space="preserve">y lo hará presumiblemente a la baja. La revisión afectará solo a nuevas instalaciones y </w:t>
      </w:r>
      <w:proofErr w:type="gramStart"/>
      <w:r w:rsidRPr="00E05893">
        <w:t>la</w:t>
      </w:r>
      <w:proofErr w:type="gramEnd"/>
      <w:r w:rsidRPr="00E05893">
        <w:t xml:space="preserve"> existentes gozarían de un periodo transitorio hasta 2015 donde se definirá un sistema de </w:t>
      </w:r>
      <w:proofErr w:type="spellStart"/>
      <w:r w:rsidRPr="00E05893">
        <w:t>feed</w:t>
      </w:r>
      <w:proofErr w:type="spellEnd"/>
      <w:r w:rsidRPr="00E05893">
        <w:t xml:space="preserve"> in </w:t>
      </w:r>
      <w:proofErr w:type="spellStart"/>
      <w:r w:rsidRPr="00E05893">
        <w:t>tariffs</w:t>
      </w:r>
      <w:proofErr w:type="spellEnd"/>
      <w:r w:rsidR="00E67527">
        <w:t>.</w:t>
      </w:r>
      <w:r w:rsidRPr="00E05893">
        <w:t xml:space="preserve"> (I</w:t>
      </w:r>
      <w:r w:rsidR="00E67527">
        <w:t xml:space="preserve">l </w:t>
      </w:r>
      <w:proofErr w:type="spellStart"/>
      <w:r w:rsidR="00E67527">
        <w:t>sole</w:t>
      </w:r>
      <w:proofErr w:type="spellEnd"/>
      <w:r w:rsidR="00E67527">
        <w:t xml:space="preserve"> 24ore, 24.11)(EUE 02.12)</w:t>
      </w:r>
      <w:r w:rsidRPr="00E05893">
        <w:rPr>
          <w:b/>
        </w:rPr>
        <w:t xml:space="preserve"> </w:t>
      </w:r>
    </w:p>
    <w:p w:rsidR="00E05893" w:rsidRPr="00E05893" w:rsidRDefault="00E05893" w:rsidP="00E05893">
      <w:pPr>
        <w:numPr>
          <w:ilvl w:val="0"/>
          <w:numId w:val="2"/>
        </w:numPr>
        <w:spacing w:before="100" w:beforeAutospacing="1" w:line="276" w:lineRule="auto"/>
        <w:rPr>
          <w:b/>
        </w:rPr>
      </w:pPr>
      <w:r w:rsidRPr="00E05893">
        <w:rPr>
          <w:b/>
        </w:rPr>
        <w:t xml:space="preserve">La CE manda un aviso formal a Francia y la república Checa por incumplimiento de la legislación de renovables, </w:t>
      </w:r>
      <w:r w:rsidRPr="00E05893">
        <w:t>al considerar que sus leyes nacionales no están conformes a lo dictado en la legislación europea. La CE considera que no se cumple en ambos países el acceso garantizado a la red de transporte a las renovables. Ambos países tienen dos meses para rectificar su legislación nacional. (GPR 01.12)(EUE 02.12)</w:t>
      </w:r>
      <w:r w:rsidRPr="00E05893">
        <w:rPr>
          <w:b/>
        </w:rPr>
        <w:t xml:space="preserve"> </w:t>
      </w:r>
    </w:p>
    <w:p w:rsidR="00E05893" w:rsidRPr="00E05893" w:rsidRDefault="00E05893" w:rsidP="00E05893">
      <w:pPr>
        <w:numPr>
          <w:ilvl w:val="0"/>
          <w:numId w:val="2"/>
        </w:numPr>
        <w:spacing w:before="100" w:beforeAutospacing="1" w:line="276" w:lineRule="auto"/>
      </w:pPr>
      <w:r w:rsidRPr="00E05893">
        <w:rPr>
          <w:b/>
        </w:rPr>
        <w:t xml:space="preserve">Según un estudio de la CREG, los subsidios proporcionados por el mínimo precio del certificado verde para eólica offshore en Bélgica se podrían recortar un 20%. </w:t>
      </w:r>
      <w:r w:rsidRPr="00E05893">
        <w:t xml:space="preserve">El operador belga Elia está obligado a comprar lo certificados offshore debido a que la eólica </w:t>
      </w:r>
      <w:proofErr w:type="spellStart"/>
      <w:r w:rsidRPr="00E05893">
        <w:t>onshore</w:t>
      </w:r>
      <w:proofErr w:type="spellEnd"/>
      <w:r w:rsidRPr="00E05893">
        <w:t xml:space="preserve"> se ha desarrollado de manera diferente en las tres regiones belgas y ninguna acepta los certificados offshore. (EUE 02.12)</w:t>
      </w:r>
    </w:p>
    <w:p w:rsidR="00E05893" w:rsidRPr="00E05893" w:rsidRDefault="00E05893" w:rsidP="00E05893">
      <w:pPr>
        <w:numPr>
          <w:ilvl w:val="0"/>
          <w:numId w:val="2"/>
        </w:numPr>
        <w:spacing w:before="100" w:beforeAutospacing="1" w:line="276" w:lineRule="auto"/>
        <w:rPr>
          <w:b/>
        </w:rPr>
      </w:pPr>
      <w:r w:rsidRPr="00E05893">
        <w:rPr>
          <w:b/>
        </w:rPr>
        <w:t xml:space="preserve">El nuevo gobierno belga quiere diversificar su parque de generación y sustituir la energía nuclear: </w:t>
      </w:r>
      <w:r w:rsidRPr="00E05893">
        <w:t>la intención es dar mayor prioridad a las renovables de modo que se asegure la seguridad de suministro a corto, medio y largo plazo. La eólica offshore estaría llamada a desempeñar un papel importante. (PIE 12.12)</w:t>
      </w:r>
    </w:p>
    <w:p w:rsidR="00E05893" w:rsidRPr="00E05893" w:rsidRDefault="00E05893" w:rsidP="00E05893">
      <w:pPr>
        <w:numPr>
          <w:ilvl w:val="0"/>
          <w:numId w:val="2"/>
        </w:numPr>
        <w:spacing w:before="100" w:beforeAutospacing="1" w:line="276" w:lineRule="auto"/>
      </w:pPr>
      <w:r w:rsidRPr="00E05893">
        <w:rPr>
          <w:b/>
        </w:rPr>
        <w:t xml:space="preserve">Irlanda aumentó su tasa al carbono en 5 EUR desde el 7 de diciembre, </w:t>
      </w:r>
      <w:r w:rsidRPr="00E05893">
        <w:t>por lo que se establece en 20 EUR/ton CO2, aunque no será efectiva la subida hasta el 1 de mayo. Esta subida afecta a gasolinas, diesel, keroseno, petróleo y gas natural. Sorpresivamente este incremento no afectará al car</w:t>
      </w:r>
      <w:r w:rsidR="004249E5">
        <w:t>bón ni a la turba. (EUE 16.12)</w:t>
      </w:r>
    </w:p>
    <w:p w:rsidR="00E05893" w:rsidRPr="00E05893" w:rsidRDefault="00E05893" w:rsidP="00E05893">
      <w:pPr>
        <w:numPr>
          <w:ilvl w:val="0"/>
          <w:numId w:val="2"/>
        </w:numPr>
        <w:spacing w:before="100" w:beforeAutospacing="1" w:line="276" w:lineRule="auto"/>
      </w:pPr>
      <w:r w:rsidRPr="00E05893">
        <w:rPr>
          <w:b/>
        </w:rPr>
        <w:t xml:space="preserve">El cambio en la Ley marítima Polaca podría facilitar un aumento de las instalaciones de eólica offshore. </w:t>
      </w:r>
      <w:r w:rsidRPr="00E05893">
        <w:t>El potencial se estima en 7,1-17,9</w:t>
      </w:r>
      <w:r w:rsidR="00E67527">
        <w:t xml:space="preserve"> </w:t>
      </w:r>
      <w:r w:rsidRPr="00E05893">
        <w:t>GW, aunque la capacidad de evacuación de las redes de transporte limita fuertemente las expectativas en el medio plazo</w:t>
      </w:r>
      <w:r w:rsidR="00E67527">
        <w:t>.</w:t>
      </w:r>
      <w:r w:rsidRPr="00E05893">
        <w:t xml:space="preserve"> (</w:t>
      </w:r>
      <w:proofErr w:type="spellStart"/>
      <w:r w:rsidRPr="00E05893">
        <w:t>Wind</w:t>
      </w:r>
      <w:proofErr w:type="spellEnd"/>
      <w:r w:rsidRPr="00E05893">
        <w:t xml:space="preserve"> </w:t>
      </w:r>
      <w:proofErr w:type="spellStart"/>
      <w:r w:rsidRPr="00E05893">
        <w:t>Power</w:t>
      </w:r>
      <w:proofErr w:type="spellEnd"/>
      <w:r w:rsidRPr="00E05893">
        <w:t xml:space="preserve"> </w:t>
      </w:r>
      <w:proofErr w:type="spellStart"/>
      <w:r w:rsidRPr="00E05893">
        <w:t>Monthly</w:t>
      </w:r>
      <w:proofErr w:type="spellEnd"/>
      <w:r w:rsidRPr="00E05893">
        <w:t xml:space="preserve"> 01.11)</w:t>
      </w:r>
    </w:p>
    <w:p w:rsidR="00E05893" w:rsidRPr="004249E5" w:rsidRDefault="00E05893" w:rsidP="00E05893">
      <w:pPr>
        <w:numPr>
          <w:ilvl w:val="0"/>
          <w:numId w:val="2"/>
        </w:numPr>
        <w:spacing w:before="100" w:beforeAutospacing="1" w:line="276" w:lineRule="auto"/>
      </w:pPr>
      <w:r w:rsidRPr="00E05893">
        <w:rPr>
          <w:b/>
        </w:rPr>
        <w:t xml:space="preserve">La CE fija la fecha del registro único del EU-ETS para finales de noviembre, </w:t>
      </w:r>
      <w:r w:rsidRPr="004249E5">
        <w:t>por lo que a partir de esa fecha, los registros nacionales serán sustituidos por un registro único europeo, que comenzará a operar en enero de 2012. Mientras sólo 4 países han enviado sus planes de asignación de derechos gratuitos para la Fase III del EU-ETS</w:t>
      </w:r>
      <w:r w:rsidR="004249E5">
        <w:t>.</w:t>
      </w:r>
      <w:r w:rsidRPr="004249E5">
        <w:t xml:space="preserve"> (EUE 04.11)</w:t>
      </w:r>
    </w:p>
    <w:p w:rsidR="004249E5" w:rsidRPr="004249E5" w:rsidRDefault="000322F5" w:rsidP="004249E5">
      <w:pPr>
        <w:pStyle w:val="Ttulo3"/>
        <w:rPr>
          <w:lang w:val="es-ES_tradnl"/>
        </w:rPr>
      </w:pPr>
      <w:r>
        <w:rPr>
          <w:lang w:val="es-ES_tradnl"/>
        </w:rPr>
        <w:lastRenderedPageBreak/>
        <w:t>Europa – Regulación y legislación</w:t>
      </w:r>
    </w:p>
    <w:p w:rsidR="004249E5" w:rsidRPr="00E67527" w:rsidRDefault="004249E5" w:rsidP="00E67527">
      <w:pPr>
        <w:numPr>
          <w:ilvl w:val="0"/>
          <w:numId w:val="2"/>
        </w:numPr>
        <w:spacing w:before="100" w:beforeAutospacing="1" w:line="276" w:lineRule="auto"/>
      </w:pPr>
      <w:r w:rsidRPr="004249E5">
        <w:rPr>
          <w:b/>
        </w:rPr>
        <w:t>La IEA le pide a Grecia que reforme su mercado energético</w:t>
      </w:r>
      <w:r w:rsidRPr="00E67527">
        <w:rPr>
          <w:b/>
        </w:rPr>
        <w:t xml:space="preserve">, </w:t>
      </w:r>
      <w:r w:rsidRPr="00E67527">
        <w:t>de modo que aumente su eficiencia y dinamismo. Además pide que los reguladores deben tener los poderes suficientes para reducir la influencia de los ope</w:t>
      </w:r>
      <w:r w:rsidR="00E67527">
        <w:t>radores dominantes. (GPR 03.11)</w:t>
      </w:r>
      <w:r w:rsidRPr="00E67527">
        <w:t xml:space="preserve"> </w:t>
      </w:r>
    </w:p>
    <w:p w:rsidR="004249E5" w:rsidRPr="00E67527" w:rsidRDefault="004249E5" w:rsidP="00E67527">
      <w:pPr>
        <w:numPr>
          <w:ilvl w:val="0"/>
          <w:numId w:val="2"/>
        </w:numPr>
        <w:spacing w:before="100" w:beforeAutospacing="1" w:line="276" w:lineRule="auto"/>
      </w:pPr>
      <w:r w:rsidRPr="004249E5">
        <w:rPr>
          <w:b/>
        </w:rPr>
        <w:t>El nuevo gobierno italiano podría impulsar las privatizaciones del sector energético, de manera que se aumente la competencia en el sector</w:t>
      </w:r>
      <w:r w:rsidRPr="00E67527">
        <w:rPr>
          <w:b/>
        </w:rPr>
        <w:t xml:space="preserve">. </w:t>
      </w:r>
      <w:r w:rsidRPr="00E67527">
        <w:t>Los precios de electricidad y gas son un 20-30% superior a los del resto de Europa y se ve a la falta de competencia como la principal causa. Además las relaciones con Rusia podrán empeorar por el nuevo Gobierno</w:t>
      </w:r>
      <w:proofErr w:type="gramStart"/>
      <w:r w:rsidRPr="00E67527">
        <w:t>.(</w:t>
      </w:r>
      <w:proofErr w:type="gramEnd"/>
      <w:r w:rsidRPr="00E67527">
        <w:t>EUE 18.11). En esta línea,</w:t>
      </w:r>
      <w:r w:rsidRPr="004249E5">
        <w:rPr>
          <w:b/>
        </w:rPr>
        <w:t xml:space="preserve"> La CE le da a Italia un mes para que actúe sobre las “</w:t>
      </w:r>
      <w:proofErr w:type="spellStart"/>
      <w:r w:rsidRPr="004249E5">
        <w:rPr>
          <w:b/>
        </w:rPr>
        <w:t>Golden</w:t>
      </w:r>
      <w:proofErr w:type="spellEnd"/>
      <w:r w:rsidRPr="004249E5">
        <w:rPr>
          <w:b/>
        </w:rPr>
        <w:t xml:space="preserve"> Share”</w:t>
      </w:r>
      <w:r w:rsidRPr="00E67527">
        <w:rPr>
          <w:b/>
        </w:rPr>
        <w:t xml:space="preserve"> </w:t>
      </w:r>
      <w:r w:rsidRPr="00E67527">
        <w:t>que posee en las principales empresas italianas, por suponer restricciones injustificadas al libre movimiento de capital. (</w:t>
      </w:r>
      <w:proofErr w:type="spellStart"/>
      <w:r w:rsidRPr="00E67527">
        <w:t>Merryll</w:t>
      </w:r>
      <w:proofErr w:type="spellEnd"/>
      <w:r w:rsidRPr="00E67527">
        <w:t xml:space="preserve"> Lynch, 24.11)(EUE 02.12) </w:t>
      </w:r>
    </w:p>
    <w:p w:rsidR="000322F5" w:rsidRDefault="000322F5" w:rsidP="003429D5">
      <w:pPr>
        <w:pStyle w:val="Ttulo3"/>
        <w:rPr>
          <w:lang w:val="es-ES_tradnl"/>
        </w:rPr>
      </w:pPr>
      <w:r w:rsidRPr="00AE68D2">
        <w:rPr>
          <w:lang w:val="es-ES_tradnl"/>
        </w:rPr>
        <w:t>Europa –</w:t>
      </w:r>
      <w:r>
        <w:rPr>
          <w:lang w:val="es-ES_tradnl"/>
        </w:rPr>
        <w:t xml:space="preserve"> </w:t>
      </w:r>
      <w:r w:rsidR="004249E5">
        <w:rPr>
          <w:lang w:val="es-ES_tradnl"/>
        </w:rPr>
        <w:t xml:space="preserve">Empresas y </w:t>
      </w:r>
      <w:r>
        <w:rPr>
          <w:lang w:val="es-ES_tradnl"/>
        </w:rPr>
        <w:t>Mercados</w:t>
      </w:r>
    </w:p>
    <w:p w:rsidR="004249E5" w:rsidRPr="004249E5" w:rsidRDefault="004249E5" w:rsidP="00E67527">
      <w:pPr>
        <w:numPr>
          <w:ilvl w:val="0"/>
          <w:numId w:val="2"/>
        </w:numPr>
        <w:spacing w:before="100" w:beforeAutospacing="1" w:line="276" w:lineRule="auto"/>
      </w:pPr>
      <w:r w:rsidRPr="00E67527">
        <w:rPr>
          <w:b/>
        </w:rPr>
        <w:t>Incremento de de precios eléctricos en Suecia tras la separación del mercado sueco en cuatro zonas.</w:t>
      </w:r>
      <w:r w:rsidRPr="00E67527">
        <w:t xml:space="preserve"> </w:t>
      </w:r>
      <w:r w:rsidRPr="004249E5">
        <w:t xml:space="preserve">En el sur los precios de la electricidad son un 28% más caros que en el norte tras la separación del mercado en 4 zonas a partir de noviembre de 2011. Solo la mitad de la electricidad consumida en el sur se genera en la misma área. Suecia tuvo que dividir su mercado tras la recomendación de la CE que afirmaba que el operador nacional de red incumplía las normas de competencia al restringir las importaciones de energía escudándose las restricciones de la red. (EUE 02.12) </w:t>
      </w:r>
    </w:p>
    <w:p w:rsidR="004249E5" w:rsidRPr="004249E5" w:rsidRDefault="004249E5" w:rsidP="00E67527">
      <w:pPr>
        <w:numPr>
          <w:ilvl w:val="0"/>
          <w:numId w:val="2"/>
        </w:numPr>
        <w:spacing w:before="100" w:beforeAutospacing="1" w:line="276" w:lineRule="auto"/>
      </w:pPr>
      <w:r w:rsidRPr="00E67527">
        <w:rPr>
          <w:b/>
        </w:rPr>
        <w:t>Rusia pretende que la UE le conceda flexibilidad en la aplicación del tercer paquete energético</w:t>
      </w:r>
      <w:r w:rsidRPr="004249E5">
        <w:t xml:space="preserve">, ya que durante el año pasado las importaciones energéticas de la UE provenientes de Rusia crecieron en un 30%. Rusia se queja de que el 3er paquete afectará a las estables relaciones entre suministradores de gas y consumidores, lo cual impactará la estabilidad energética. (EUE 16.12) </w:t>
      </w:r>
    </w:p>
    <w:p w:rsidR="000322F5" w:rsidRDefault="000322F5" w:rsidP="004249E5">
      <w:pPr>
        <w:pStyle w:val="Ttulo3"/>
        <w:rPr>
          <w:lang w:val="es-ES_tradnl"/>
        </w:rPr>
      </w:pPr>
      <w:r>
        <w:rPr>
          <w:lang w:val="es-ES_tradnl"/>
        </w:rPr>
        <w:t>Europa – Tarifas, precios y protección al consumidor</w:t>
      </w:r>
    </w:p>
    <w:p w:rsidR="00184D46" w:rsidRPr="00A85AE7" w:rsidRDefault="00184D46" w:rsidP="00A85AE7">
      <w:pPr>
        <w:numPr>
          <w:ilvl w:val="0"/>
          <w:numId w:val="13"/>
        </w:numPr>
        <w:spacing w:before="100" w:beforeAutospacing="1" w:line="276" w:lineRule="auto"/>
        <w:ind w:left="284" w:hanging="284"/>
        <w:rPr>
          <w:lang w:val="es-ES_tradnl"/>
        </w:rPr>
      </w:pPr>
      <w:r w:rsidRPr="00A85AE7">
        <w:rPr>
          <w:b/>
          <w:lang w:val="es-ES_tradnl"/>
        </w:rPr>
        <w:t xml:space="preserve">A pesar de cambios muy limitados en el mercado eléctrico francés, el regulador (CRE), señala que la introducción de la Ley NOME empieza a dar sus frutos. </w:t>
      </w:r>
      <w:r w:rsidRPr="00A85AE7">
        <w:rPr>
          <w:lang w:val="es-ES_tradnl"/>
        </w:rPr>
        <w:t xml:space="preserve">En el ámbito de grandes consumidores, los “suministradores alternativos” han pasado de suponer el 25,5% al 29,6%. En el ámbito del sector residencial todavía no se nota el efecto de la reventa de la energía nuclear de EDF. (PIE 12.12) </w:t>
      </w:r>
    </w:p>
    <w:p w:rsidR="00184D46" w:rsidRPr="00A85AE7" w:rsidRDefault="00184D46" w:rsidP="00A85AE7">
      <w:pPr>
        <w:numPr>
          <w:ilvl w:val="0"/>
          <w:numId w:val="13"/>
        </w:numPr>
        <w:spacing w:before="100" w:beforeAutospacing="1" w:line="276" w:lineRule="auto"/>
        <w:ind w:left="284" w:hanging="284"/>
        <w:rPr>
          <w:lang w:val="es-ES_tradnl"/>
        </w:rPr>
      </w:pPr>
      <w:r w:rsidRPr="00A85AE7">
        <w:rPr>
          <w:b/>
          <w:lang w:val="es-ES_tradnl"/>
        </w:rPr>
        <w:t xml:space="preserve">El gobierno suizo se plantea reformar los impuestos </w:t>
      </w:r>
      <w:r w:rsidRPr="00A85AE7">
        <w:rPr>
          <w:lang w:val="es-ES_tradnl"/>
        </w:rPr>
        <w:t xml:space="preserve">(bien aplicando reducciones de impuestos, bien otorgando subsidios) </w:t>
      </w:r>
      <w:r w:rsidRPr="00A85AE7">
        <w:rPr>
          <w:b/>
          <w:lang w:val="es-ES_tradnl"/>
        </w:rPr>
        <w:t xml:space="preserve">para impulsar el ahorro energético y las medidas de protección del medio ambiente </w:t>
      </w:r>
      <w:r w:rsidRPr="00A85AE7">
        <w:rPr>
          <w:lang w:val="es-ES_tradnl"/>
        </w:rPr>
        <w:t xml:space="preserve">y eliminar su dependencia de la energía nuclear en el horizonte 2050. (PIE 12.12) </w:t>
      </w:r>
    </w:p>
    <w:p w:rsidR="00184D46" w:rsidRPr="00A85AE7" w:rsidRDefault="00184D46" w:rsidP="00A85AE7">
      <w:pPr>
        <w:numPr>
          <w:ilvl w:val="0"/>
          <w:numId w:val="13"/>
        </w:numPr>
        <w:spacing w:before="100" w:beforeAutospacing="1" w:line="276" w:lineRule="auto"/>
        <w:ind w:left="284" w:hanging="284"/>
        <w:rPr>
          <w:lang w:val="es-ES_tradnl"/>
        </w:rPr>
      </w:pPr>
      <w:r w:rsidRPr="00A85AE7">
        <w:rPr>
          <w:b/>
          <w:lang w:val="es-ES_tradnl"/>
        </w:rPr>
        <w:t xml:space="preserve">El nuevo gobierno belga le pedirá al regulador CREG que investigue por qué los precios energéticos son superiores a los de los países vecinos </w:t>
      </w:r>
      <w:r w:rsidRPr="00A85AE7">
        <w:rPr>
          <w:lang w:val="es-ES_tradnl"/>
        </w:rPr>
        <w:t xml:space="preserve">y además le sugiere que limite los precios a los consumidores temporalmente si se encuentran motivos que no justifiquen las divergencias. (EUE 16.12) </w:t>
      </w:r>
    </w:p>
    <w:p w:rsidR="00184D46" w:rsidRPr="00A85AE7" w:rsidRDefault="00184D46" w:rsidP="00A85AE7">
      <w:pPr>
        <w:numPr>
          <w:ilvl w:val="0"/>
          <w:numId w:val="13"/>
        </w:numPr>
        <w:spacing w:before="100" w:beforeAutospacing="1" w:line="276" w:lineRule="auto"/>
        <w:ind w:left="284" w:hanging="284"/>
        <w:rPr>
          <w:lang w:val="es-ES_tradnl"/>
        </w:rPr>
      </w:pPr>
      <w:r w:rsidRPr="00A85AE7">
        <w:rPr>
          <w:b/>
          <w:lang w:val="es-ES_tradnl"/>
        </w:rPr>
        <w:t xml:space="preserve">La revisión de la norma </w:t>
      </w:r>
      <w:proofErr w:type="spellStart"/>
      <w:r w:rsidRPr="00A85AE7">
        <w:rPr>
          <w:b/>
          <w:lang w:val="es-ES_tradnl"/>
        </w:rPr>
        <w:t>StromNEV</w:t>
      </w:r>
      <w:proofErr w:type="spellEnd"/>
      <w:r w:rsidRPr="00A85AE7">
        <w:rPr>
          <w:b/>
          <w:lang w:val="es-ES_tradnl"/>
        </w:rPr>
        <w:t xml:space="preserve"> en Alemania, que ahorrará a los grandes consumidores cerca de 1.000 </w:t>
      </w:r>
      <w:proofErr w:type="spellStart"/>
      <w:r w:rsidR="00E67527">
        <w:rPr>
          <w:b/>
          <w:lang w:val="es-ES_tradnl"/>
        </w:rPr>
        <w:t>Mill</w:t>
      </w:r>
      <w:proofErr w:type="spellEnd"/>
      <w:r w:rsidR="00E67527">
        <w:rPr>
          <w:b/>
          <w:lang w:val="es-ES_tradnl"/>
        </w:rPr>
        <w:t>.</w:t>
      </w:r>
      <w:r w:rsidRPr="00A85AE7">
        <w:rPr>
          <w:b/>
          <w:lang w:val="es-ES_tradnl"/>
        </w:rPr>
        <w:t xml:space="preserve"> EUR, en el punto de mira: </w:t>
      </w:r>
      <w:r w:rsidRPr="00A85AE7">
        <w:rPr>
          <w:lang w:val="es-ES_tradnl"/>
        </w:rPr>
        <w:t xml:space="preserve">con la revisión de la </w:t>
      </w:r>
      <w:proofErr w:type="spellStart"/>
      <w:r w:rsidRPr="00A85AE7">
        <w:rPr>
          <w:lang w:val="es-ES_tradnl"/>
        </w:rPr>
        <w:t>StromNEV</w:t>
      </w:r>
      <w:proofErr w:type="spellEnd"/>
      <w:r w:rsidRPr="00A85AE7">
        <w:rPr>
          <w:lang w:val="es-ES_tradnl"/>
        </w:rPr>
        <w:t xml:space="preserve">, los grandes consumidores </w:t>
      </w:r>
      <w:r w:rsidRPr="00A85AE7">
        <w:rPr>
          <w:lang w:val="es-ES_tradnl"/>
        </w:rPr>
        <w:lastRenderedPageBreak/>
        <w:t>recibirán un trato favorable en los peajes de red y por sobrecoste de renovables que incidirán en un mayor coste para los clientes comerciales y residenciales. Según esta revisión, los grandes consumidores estarán exentos de pagar las tarifas de red si consumen más de 10</w:t>
      </w:r>
      <w:r w:rsidR="00E67527">
        <w:rPr>
          <w:lang w:val="es-ES_tradnl"/>
        </w:rPr>
        <w:t xml:space="preserve"> </w:t>
      </w:r>
      <w:r w:rsidRPr="00A85AE7">
        <w:rPr>
          <w:lang w:val="es-ES_tradnl"/>
        </w:rPr>
        <w:t>GWh/año de electricidad de la red pública durante al menos 7.000 horas. Esto beneficiaría a 520 compañías, que suponen el 15% de la demanda eléctrica del país, y supondría añadir 26-35</w:t>
      </w:r>
      <w:r w:rsidR="00E67527">
        <w:rPr>
          <w:lang w:val="es-ES_tradnl"/>
        </w:rPr>
        <w:t xml:space="preserve"> </w:t>
      </w:r>
      <w:r w:rsidRPr="00A85AE7">
        <w:rPr>
          <w:lang w:val="es-ES_tradnl"/>
        </w:rPr>
        <w:t>EUR a la factura anual de electricidad de una familia de 3 miembros con un consumo de 3.500</w:t>
      </w:r>
      <w:r w:rsidR="00E67527">
        <w:rPr>
          <w:lang w:val="es-ES_tradnl"/>
        </w:rPr>
        <w:t xml:space="preserve"> </w:t>
      </w:r>
      <w:r w:rsidRPr="00A85AE7">
        <w:rPr>
          <w:lang w:val="es-ES_tradnl"/>
        </w:rPr>
        <w:t xml:space="preserve">kWh/año. Además, la ley de renovables revisada en verano y que entrará en vigor en 2012 establece un techo a la tasa de renovables para las empresas de 0,05 </w:t>
      </w:r>
      <w:r w:rsidR="00E67527">
        <w:rPr>
          <w:lang w:val="es-ES_tradnl"/>
        </w:rPr>
        <w:t>ctm.EUR</w:t>
      </w:r>
      <w:r w:rsidRPr="00A85AE7">
        <w:rPr>
          <w:lang w:val="es-ES_tradnl"/>
        </w:rPr>
        <w:t xml:space="preserve">/kWh, lo cual beneficiará a cerca de 6.000 empresas. En paralelo, la tasa de renovables que deben pagar el resto de consumidores ascenderá de 0,07-1,1 </w:t>
      </w:r>
      <w:r w:rsidR="00E67527">
        <w:rPr>
          <w:lang w:val="es-ES_tradnl"/>
        </w:rPr>
        <w:t>ctm.EUR</w:t>
      </w:r>
      <w:r w:rsidR="00E67527" w:rsidRPr="00A85AE7">
        <w:rPr>
          <w:lang w:val="es-ES_tradnl"/>
        </w:rPr>
        <w:t xml:space="preserve">/kWh </w:t>
      </w:r>
      <w:r w:rsidRPr="00A85AE7">
        <w:rPr>
          <w:lang w:val="es-ES_tradnl"/>
        </w:rPr>
        <w:t xml:space="preserve">a 3,66-4,74 </w:t>
      </w:r>
      <w:r w:rsidR="00E67527">
        <w:rPr>
          <w:lang w:val="es-ES_tradnl"/>
        </w:rPr>
        <w:t>ctm.EUR</w:t>
      </w:r>
      <w:r w:rsidR="00E67527" w:rsidRPr="00A85AE7">
        <w:rPr>
          <w:lang w:val="es-ES_tradnl"/>
        </w:rPr>
        <w:t>/kWh</w:t>
      </w:r>
      <w:r w:rsidRPr="00A85AE7">
        <w:rPr>
          <w:lang w:val="es-ES_tradnl"/>
        </w:rPr>
        <w:t xml:space="preserve">. (PIE 28.11) </w:t>
      </w:r>
    </w:p>
    <w:p w:rsidR="00184D46" w:rsidRPr="00184D46" w:rsidRDefault="000322F5" w:rsidP="00184D46">
      <w:pPr>
        <w:pStyle w:val="Ttulo3"/>
        <w:rPr>
          <w:lang w:val="es-ES_tradnl"/>
        </w:rPr>
      </w:pPr>
      <w:proofErr w:type="spellStart"/>
      <w:r w:rsidRPr="005B4DC9">
        <w:rPr>
          <w:lang w:val="en-US"/>
        </w:rPr>
        <w:t>Europa</w:t>
      </w:r>
      <w:proofErr w:type="spellEnd"/>
      <w:r w:rsidRPr="005B4DC9">
        <w:rPr>
          <w:lang w:val="en-US"/>
        </w:rPr>
        <w:t xml:space="preserve"> –</w:t>
      </w:r>
      <w:proofErr w:type="spellStart"/>
      <w:r w:rsidRPr="005B4DC9">
        <w:rPr>
          <w:lang w:val="en-US"/>
        </w:rPr>
        <w:t>Redes</w:t>
      </w:r>
      <w:proofErr w:type="spellEnd"/>
      <w:r w:rsidRPr="005B4DC9">
        <w:rPr>
          <w:lang w:val="en-US"/>
        </w:rPr>
        <w:t xml:space="preserve"> e </w:t>
      </w:r>
      <w:proofErr w:type="spellStart"/>
      <w:r w:rsidRPr="005B4DC9">
        <w:rPr>
          <w:lang w:val="en-US"/>
        </w:rPr>
        <w:t>i</w:t>
      </w:r>
      <w:r w:rsidRPr="005B4DC9">
        <w:rPr>
          <w:lang w:val="es-ES_tradnl"/>
        </w:rPr>
        <w:t>nfraestructuras</w:t>
      </w:r>
      <w:proofErr w:type="spellEnd"/>
    </w:p>
    <w:p w:rsidR="00184D46" w:rsidRPr="00A85AE7" w:rsidRDefault="00184D46" w:rsidP="00A85AE7">
      <w:pPr>
        <w:numPr>
          <w:ilvl w:val="0"/>
          <w:numId w:val="13"/>
        </w:numPr>
        <w:spacing w:before="100" w:beforeAutospacing="1" w:line="276" w:lineRule="auto"/>
        <w:ind w:left="284" w:hanging="284"/>
        <w:rPr>
          <w:lang w:val="es-ES_tradnl"/>
        </w:rPr>
      </w:pPr>
      <w:r w:rsidRPr="00A85AE7">
        <w:rPr>
          <w:b/>
          <w:lang w:val="es-ES_tradnl"/>
        </w:rPr>
        <w:t xml:space="preserve">El regulador británico </w:t>
      </w:r>
      <w:proofErr w:type="spellStart"/>
      <w:r w:rsidRPr="00A85AE7">
        <w:rPr>
          <w:b/>
          <w:lang w:val="es-ES_tradnl"/>
        </w:rPr>
        <w:t>Ofgem</w:t>
      </w:r>
      <w:proofErr w:type="spellEnd"/>
      <w:r w:rsidRPr="00A85AE7">
        <w:rPr>
          <w:b/>
          <w:lang w:val="es-ES_tradnl"/>
        </w:rPr>
        <w:t xml:space="preserve"> someterá a consulta la reforma de los peajes de transporte aplicados a los generadores. </w:t>
      </w:r>
      <w:r w:rsidRPr="00A85AE7">
        <w:rPr>
          <w:lang w:val="es-ES_tradnl"/>
        </w:rPr>
        <w:t>Ello resultará en beneficio de los generadores renovables, especialmente en Escocia</w:t>
      </w:r>
      <w:r w:rsidR="00E67527">
        <w:rPr>
          <w:lang w:val="es-ES_tradnl"/>
        </w:rPr>
        <w:t>.</w:t>
      </w:r>
      <w:r w:rsidRPr="00A85AE7">
        <w:rPr>
          <w:lang w:val="es-ES_tradnl"/>
        </w:rPr>
        <w:t xml:space="preserve"> (</w:t>
      </w:r>
      <w:proofErr w:type="spellStart"/>
      <w:r w:rsidRPr="00A85AE7">
        <w:rPr>
          <w:lang w:val="es-ES_tradnl"/>
        </w:rPr>
        <w:t>JPMorgan</w:t>
      </w:r>
      <w:proofErr w:type="spellEnd"/>
      <w:r w:rsidRPr="00A85AE7">
        <w:rPr>
          <w:lang w:val="es-ES_tradnl"/>
        </w:rPr>
        <w:t xml:space="preserve"> 14.11) </w:t>
      </w:r>
    </w:p>
    <w:p w:rsidR="00184D46" w:rsidRPr="00A85AE7" w:rsidRDefault="00184D46" w:rsidP="00A85AE7">
      <w:pPr>
        <w:numPr>
          <w:ilvl w:val="0"/>
          <w:numId w:val="13"/>
        </w:numPr>
        <w:spacing w:before="100" w:beforeAutospacing="1" w:line="276" w:lineRule="auto"/>
        <w:ind w:left="284" w:hanging="284"/>
        <w:rPr>
          <w:b/>
          <w:lang w:val="es-ES_tradnl"/>
        </w:rPr>
      </w:pPr>
      <w:proofErr w:type="spellStart"/>
      <w:r w:rsidRPr="00A85AE7">
        <w:rPr>
          <w:b/>
          <w:lang w:val="es-ES_tradnl"/>
        </w:rPr>
        <w:t>Ofgem</w:t>
      </w:r>
      <w:proofErr w:type="spellEnd"/>
      <w:r w:rsidRPr="00A85AE7">
        <w:rPr>
          <w:b/>
          <w:lang w:val="es-ES_tradnl"/>
        </w:rPr>
        <w:t xml:space="preserve"> ha publicado sus propuestas finales para la extensión del ‘</w:t>
      </w:r>
      <w:proofErr w:type="spellStart"/>
      <w:r w:rsidRPr="00A85AE7">
        <w:rPr>
          <w:b/>
          <w:lang w:val="es-ES_tradnl"/>
        </w:rPr>
        <w:t>Transmission</w:t>
      </w:r>
      <w:proofErr w:type="spellEnd"/>
      <w:r w:rsidRPr="00A85AE7">
        <w:rPr>
          <w:b/>
          <w:lang w:val="es-ES_tradnl"/>
        </w:rPr>
        <w:t xml:space="preserve"> Price Control </w:t>
      </w:r>
      <w:proofErr w:type="spellStart"/>
      <w:r w:rsidRPr="00A85AE7">
        <w:rPr>
          <w:b/>
          <w:lang w:val="es-ES_tradnl"/>
        </w:rPr>
        <w:t>Review</w:t>
      </w:r>
      <w:proofErr w:type="spellEnd"/>
      <w:r w:rsidRPr="00A85AE7">
        <w:rPr>
          <w:b/>
          <w:lang w:val="es-ES_tradnl"/>
        </w:rPr>
        <w:t xml:space="preserve">’ </w:t>
      </w:r>
      <w:r w:rsidRPr="00A85AE7">
        <w:rPr>
          <w:lang w:val="es-ES_tradnl"/>
        </w:rPr>
        <w:t>(TPCR4) durante los 12 meses previos a la introducción de RIIO en abril de 2013.</w:t>
      </w:r>
      <w:r w:rsidR="00E67527">
        <w:rPr>
          <w:lang w:val="es-ES_tradnl"/>
        </w:rPr>
        <w:t xml:space="preserve"> </w:t>
      </w:r>
      <w:r w:rsidRPr="00A85AE7">
        <w:rPr>
          <w:lang w:val="es-ES_tradnl"/>
        </w:rPr>
        <w:t>(</w:t>
      </w:r>
      <w:proofErr w:type="spellStart"/>
      <w:r w:rsidRPr="00A85AE7">
        <w:rPr>
          <w:lang w:val="es-ES_tradnl"/>
        </w:rPr>
        <w:t>Merryll</w:t>
      </w:r>
      <w:proofErr w:type="spellEnd"/>
      <w:r w:rsidRPr="00A85AE7">
        <w:rPr>
          <w:lang w:val="es-ES_tradnl"/>
        </w:rPr>
        <w:t xml:space="preserve"> Lynch 29.11)</w:t>
      </w:r>
      <w:r w:rsidRPr="00A85AE7">
        <w:rPr>
          <w:b/>
          <w:lang w:val="es-ES_tradnl"/>
        </w:rPr>
        <w:t xml:space="preserve"> </w:t>
      </w:r>
    </w:p>
    <w:p w:rsidR="00184D46" w:rsidRPr="00A85AE7" w:rsidRDefault="00184D46" w:rsidP="00A85AE7">
      <w:pPr>
        <w:numPr>
          <w:ilvl w:val="0"/>
          <w:numId w:val="13"/>
        </w:numPr>
        <w:spacing w:before="100" w:beforeAutospacing="1" w:line="276" w:lineRule="auto"/>
        <w:ind w:left="284" w:hanging="284"/>
        <w:rPr>
          <w:b/>
          <w:lang w:val="es-ES_tradnl"/>
        </w:rPr>
      </w:pPr>
      <w:r w:rsidRPr="00A85AE7">
        <w:rPr>
          <w:b/>
          <w:lang w:val="es-ES_tradnl"/>
        </w:rPr>
        <w:t xml:space="preserve">La empresa italiana </w:t>
      </w:r>
      <w:proofErr w:type="spellStart"/>
      <w:r w:rsidRPr="00A85AE7">
        <w:rPr>
          <w:b/>
          <w:lang w:val="es-ES_tradnl"/>
        </w:rPr>
        <w:t>Enel</w:t>
      </w:r>
      <w:proofErr w:type="spellEnd"/>
      <w:r w:rsidRPr="00A85AE7">
        <w:rPr>
          <w:b/>
          <w:lang w:val="es-ES_tradnl"/>
        </w:rPr>
        <w:t xml:space="preserve"> lanza el primer piloto de </w:t>
      </w:r>
      <w:proofErr w:type="spellStart"/>
      <w:r w:rsidRPr="00A85AE7">
        <w:rPr>
          <w:b/>
          <w:lang w:val="es-ES_tradnl"/>
        </w:rPr>
        <w:t>smart</w:t>
      </w:r>
      <w:proofErr w:type="spellEnd"/>
      <w:r w:rsidRPr="00A85AE7">
        <w:rPr>
          <w:b/>
          <w:lang w:val="es-ES_tradnl"/>
        </w:rPr>
        <w:t xml:space="preserve"> </w:t>
      </w:r>
      <w:proofErr w:type="spellStart"/>
      <w:r w:rsidRPr="00A85AE7">
        <w:rPr>
          <w:b/>
          <w:lang w:val="es-ES_tradnl"/>
        </w:rPr>
        <w:t>grid</w:t>
      </w:r>
      <w:proofErr w:type="spellEnd"/>
      <w:r w:rsidRPr="00A85AE7">
        <w:rPr>
          <w:b/>
          <w:lang w:val="es-ES_tradnl"/>
        </w:rPr>
        <w:t xml:space="preserve">, </w:t>
      </w:r>
      <w:r w:rsidRPr="00A85AE7">
        <w:rPr>
          <w:lang w:val="es-ES_tradnl"/>
        </w:rPr>
        <w:t>el cual incluye sistemas de predicción de renovables, sensores para monitorizar la red, interacción con generadores para un control anticipado de los flujos de la red o el almacenamiento con baterías de litio. (EUE 18.11)</w:t>
      </w:r>
      <w:r w:rsidRPr="00A85AE7">
        <w:rPr>
          <w:b/>
          <w:lang w:val="es-ES_tradnl"/>
        </w:rPr>
        <w:t xml:space="preserve"> </w:t>
      </w:r>
    </w:p>
    <w:p w:rsidR="00184D46" w:rsidRPr="00A85AE7" w:rsidRDefault="00184D46" w:rsidP="00A85AE7">
      <w:pPr>
        <w:numPr>
          <w:ilvl w:val="0"/>
          <w:numId w:val="13"/>
        </w:numPr>
        <w:spacing w:before="100" w:beforeAutospacing="1" w:line="276" w:lineRule="auto"/>
        <w:ind w:left="284" w:hanging="284"/>
        <w:rPr>
          <w:b/>
          <w:lang w:val="es-ES_tradnl"/>
        </w:rPr>
      </w:pPr>
      <w:r w:rsidRPr="00A85AE7">
        <w:rPr>
          <w:b/>
          <w:lang w:val="es-ES_tradnl"/>
        </w:rPr>
        <w:t xml:space="preserve">El TSO Checo (CEPS) estudia bloquear el flujo de energía eólica de Alemania para proteger su red. </w:t>
      </w:r>
      <w:r w:rsidRPr="00A85AE7">
        <w:rPr>
          <w:lang w:val="es-ES_tradnl"/>
        </w:rPr>
        <w:t>Parte del problema radica en la demanda austriaca de energía barata de Alemania cuando hay mucho viento para sus instalaciones de bombeo. Chequia considera que la decisión de bloquear la energía no es una solución a largo plazo y que son necesarias nuevas infraestructuras</w:t>
      </w:r>
      <w:r w:rsidR="00E67527">
        <w:rPr>
          <w:lang w:val="es-ES_tradnl"/>
        </w:rPr>
        <w:t>.</w:t>
      </w:r>
      <w:r w:rsidRPr="00A85AE7">
        <w:rPr>
          <w:lang w:val="es-ES_tradnl"/>
        </w:rPr>
        <w:t xml:space="preserve"> (EUE 18.11)</w:t>
      </w:r>
      <w:r w:rsidRPr="00A85AE7">
        <w:rPr>
          <w:b/>
          <w:lang w:val="es-ES_tradnl"/>
        </w:rPr>
        <w:t xml:space="preserve"> </w:t>
      </w:r>
    </w:p>
    <w:p w:rsidR="00184D46" w:rsidRPr="00A85AE7" w:rsidRDefault="00184D46" w:rsidP="00A85AE7">
      <w:pPr>
        <w:numPr>
          <w:ilvl w:val="0"/>
          <w:numId w:val="13"/>
        </w:numPr>
        <w:spacing w:before="100" w:beforeAutospacing="1" w:line="276" w:lineRule="auto"/>
        <w:ind w:left="284" w:hanging="284"/>
        <w:rPr>
          <w:lang w:val="es-ES_tradnl"/>
        </w:rPr>
      </w:pPr>
      <w:r w:rsidRPr="00A85AE7">
        <w:rPr>
          <w:b/>
          <w:lang w:val="es-ES_tradnl"/>
        </w:rPr>
        <w:t xml:space="preserve">El operador de redes alemán </w:t>
      </w:r>
      <w:proofErr w:type="spellStart"/>
      <w:r w:rsidRPr="00A85AE7">
        <w:rPr>
          <w:b/>
          <w:lang w:val="es-ES_tradnl"/>
        </w:rPr>
        <w:t>Tennet</w:t>
      </w:r>
      <w:proofErr w:type="spellEnd"/>
      <w:r w:rsidRPr="00A85AE7">
        <w:rPr>
          <w:b/>
          <w:lang w:val="es-ES_tradnl"/>
        </w:rPr>
        <w:t xml:space="preserve"> afirma que no puede conectar más eólica offshore en las actuales condiciones </w:t>
      </w:r>
      <w:r w:rsidRPr="00A85AE7">
        <w:rPr>
          <w:lang w:val="es-ES_tradnl"/>
        </w:rPr>
        <w:t xml:space="preserve">de escasez de personal, recursos materiales y financieros así como de suministradores. </w:t>
      </w:r>
      <w:proofErr w:type="spellStart"/>
      <w:r w:rsidRPr="00A85AE7">
        <w:rPr>
          <w:lang w:val="es-ES_tradnl"/>
        </w:rPr>
        <w:t>Bundesnetzagentur</w:t>
      </w:r>
      <w:proofErr w:type="spellEnd"/>
      <w:r w:rsidRPr="00A85AE7">
        <w:rPr>
          <w:lang w:val="es-ES_tradnl"/>
        </w:rPr>
        <w:t xml:space="preserve"> redujo el ROE para las nuevas inversiones en redes del período 2014-18 a 9,05% después de impuestos (7,14% después de impuestos para el resto de los activos), rebajándolo desde el 9,29%. (GPR 24.11) (PIE 28.11) (EUE 02.12) </w:t>
      </w:r>
    </w:p>
    <w:p w:rsidR="00184D46" w:rsidRPr="00A85AE7" w:rsidRDefault="00184D46" w:rsidP="00A85AE7">
      <w:pPr>
        <w:numPr>
          <w:ilvl w:val="0"/>
          <w:numId w:val="13"/>
        </w:numPr>
        <w:spacing w:before="100" w:beforeAutospacing="1" w:line="276" w:lineRule="auto"/>
        <w:ind w:left="284" w:hanging="284"/>
        <w:rPr>
          <w:lang w:val="es-ES_tradnl"/>
        </w:rPr>
      </w:pPr>
      <w:r w:rsidRPr="00A85AE7">
        <w:rPr>
          <w:b/>
          <w:lang w:val="es-ES_tradnl"/>
        </w:rPr>
        <w:t xml:space="preserve">El regulador italiano AEEG unifica su normativa sobre acceso a las interconexiones, </w:t>
      </w:r>
      <w:r w:rsidRPr="00A85AE7">
        <w:rPr>
          <w:lang w:val="es-ES_tradnl"/>
        </w:rPr>
        <w:t>por lo que los agentes podrán utilizar las mismas formulas y procedimientos que las de las zonas Oeste y Centro Sur de Europa, además de Suiza. Además mejorará la integración y la competencia en el mercado. Las normas serán las mismas de Alemania a Grecia y Eslovenia. (EUE 02.12).</w:t>
      </w:r>
      <w:r w:rsidRPr="00A85AE7">
        <w:rPr>
          <w:b/>
          <w:lang w:val="es-ES_tradnl"/>
        </w:rPr>
        <w:t xml:space="preserve"> AEEG ha propuesto un nuevo sistema de retribución de las inversiones que aumenta los pagos al transporte, distribución y medida. </w:t>
      </w:r>
      <w:r w:rsidRPr="00A85AE7">
        <w:rPr>
          <w:lang w:val="es-ES_tradnl"/>
        </w:rPr>
        <w:t xml:space="preserve">Las tarifas, aplicables entre 2012-15 incluyen un rendimiento de capital invertido neto (ROIC) de 7,2% para el transporte, y de un 7,4% para la distribución y nuevos equipos de medida. (EUE 16.12) </w:t>
      </w:r>
    </w:p>
    <w:p w:rsidR="000322F5" w:rsidRDefault="000322F5" w:rsidP="003429D5">
      <w:pPr>
        <w:pStyle w:val="Ttulo3"/>
        <w:rPr>
          <w:lang w:val="es-ES_tradnl"/>
        </w:rPr>
      </w:pPr>
      <w:r>
        <w:rPr>
          <w:lang w:val="es-ES_tradnl"/>
        </w:rPr>
        <w:t>Europa – Nuclear</w:t>
      </w:r>
    </w:p>
    <w:p w:rsidR="001853F8" w:rsidRPr="001853F8" w:rsidRDefault="001853F8" w:rsidP="00A85AE7">
      <w:pPr>
        <w:numPr>
          <w:ilvl w:val="0"/>
          <w:numId w:val="13"/>
        </w:numPr>
        <w:spacing w:before="100" w:beforeAutospacing="1" w:line="276" w:lineRule="auto"/>
        <w:ind w:left="284" w:hanging="284"/>
        <w:rPr>
          <w:lang w:val="es-ES_tradnl"/>
        </w:rPr>
      </w:pPr>
      <w:r w:rsidRPr="00A85AE7">
        <w:rPr>
          <w:b/>
          <w:lang w:val="es-ES_tradnl"/>
        </w:rPr>
        <w:t>El gobierno belga quiere prescindir de la nuclear desde 2015</w:t>
      </w:r>
      <w:r w:rsidRPr="001853F8">
        <w:rPr>
          <w:lang w:val="es-ES_tradnl"/>
        </w:rPr>
        <w:t>: El nuevo gobierno de coalición belga quiere prescindir de los 5,9</w:t>
      </w:r>
      <w:r w:rsidR="00E67527">
        <w:rPr>
          <w:lang w:val="es-ES_tradnl"/>
        </w:rPr>
        <w:t xml:space="preserve"> </w:t>
      </w:r>
      <w:r w:rsidRPr="001853F8">
        <w:rPr>
          <w:lang w:val="es-ES_tradnl"/>
        </w:rPr>
        <w:t>GW de nuclear entre 2015 y 2025 cuando la vida útil de los reactores alcance los 40 años. El gobierno trabajará los próximos meses en un plan de acción para sustituir la nuclear de modo gradual. (GPR 03.11) (EUE 04.11)</w:t>
      </w:r>
      <w:r w:rsidR="00E67527">
        <w:rPr>
          <w:lang w:val="es-ES_tradnl"/>
        </w:rPr>
        <w:t>.</w:t>
      </w:r>
      <w:r w:rsidRPr="001853F8">
        <w:rPr>
          <w:lang w:val="es-ES_tradnl"/>
        </w:rPr>
        <w:t xml:space="preserve"> El acuerdo alcanzado contempla </w:t>
      </w:r>
      <w:r w:rsidRPr="00A85AE7">
        <w:rPr>
          <w:b/>
          <w:lang w:val="es-ES_tradnl"/>
        </w:rPr>
        <w:t xml:space="preserve">el cierre de las centrales más antiguas en 2015 </w:t>
      </w:r>
      <w:r w:rsidRPr="001853F8">
        <w:rPr>
          <w:lang w:val="es-ES_tradnl"/>
        </w:rPr>
        <w:t xml:space="preserve">siempre que haya generación suficiente (PIE 14.11). Finalmente </w:t>
      </w:r>
      <w:r w:rsidRPr="00A85AE7">
        <w:rPr>
          <w:b/>
          <w:lang w:val="es-ES_tradnl"/>
        </w:rPr>
        <w:t>se ha establec</w:t>
      </w:r>
      <w:r w:rsidR="00770032">
        <w:rPr>
          <w:b/>
          <w:lang w:val="es-ES_tradnl"/>
        </w:rPr>
        <w:t xml:space="preserve">ido la tasa anual en 550 </w:t>
      </w:r>
      <w:proofErr w:type="spellStart"/>
      <w:r w:rsidR="00770032">
        <w:rPr>
          <w:b/>
          <w:lang w:val="es-ES_tradnl"/>
        </w:rPr>
        <w:t>Mill</w:t>
      </w:r>
      <w:proofErr w:type="spellEnd"/>
      <w:r w:rsidR="00770032">
        <w:rPr>
          <w:b/>
          <w:lang w:val="es-ES_tradnl"/>
        </w:rPr>
        <w:t>.</w:t>
      </w:r>
      <w:r w:rsidRPr="00A85AE7">
        <w:rPr>
          <w:b/>
          <w:lang w:val="es-ES_tradnl"/>
        </w:rPr>
        <w:t xml:space="preserve"> EUR a pagar antes de 2015</w:t>
      </w:r>
      <w:r w:rsidRPr="001853F8">
        <w:rPr>
          <w:lang w:val="es-ES_tradnl"/>
        </w:rPr>
        <w:t xml:space="preserve">. La tasa actual está en 250 </w:t>
      </w:r>
      <w:proofErr w:type="spellStart"/>
      <w:r w:rsidRPr="001853F8">
        <w:rPr>
          <w:lang w:val="es-ES_tradnl"/>
        </w:rPr>
        <w:t>Mill</w:t>
      </w:r>
      <w:proofErr w:type="spellEnd"/>
      <w:r w:rsidRPr="001853F8">
        <w:rPr>
          <w:lang w:val="es-ES_tradnl"/>
        </w:rPr>
        <w:t>.</w:t>
      </w:r>
      <w:r w:rsidR="00E67527">
        <w:rPr>
          <w:lang w:val="es-ES_tradnl"/>
        </w:rPr>
        <w:t xml:space="preserve"> </w:t>
      </w:r>
      <w:r w:rsidRPr="001853F8">
        <w:rPr>
          <w:lang w:val="es-ES_tradnl"/>
        </w:rPr>
        <w:t xml:space="preserve">EUR, de los cuales un 87% soporta </w:t>
      </w:r>
      <w:proofErr w:type="spellStart"/>
      <w:r w:rsidRPr="001853F8">
        <w:rPr>
          <w:lang w:val="es-ES_tradnl"/>
        </w:rPr>
        <w:t>Electrabel</w:t>
      </w:r>
      <w:proofErr w:type="spellEnd"/>
      <w:r w:rsidRPr="001853F8">
        <w:rPr>
          <w:lang w:val="es-ES_tradnl"/>
        </w:rPr>
        <w:t>. Esta tasa se acerca a la pagada por los operadores alemanes de 12-13</w:t>
      </w:r>
      <w:r w:rsidR="00E67527">
        <w:rPr>
          <w:lang w:val="es-ES_tradnl"/>
        </w:rPr>
        <w:t xml:space="preserve"> </w:t>
      </w:r>
      <w:r w:rsidRPr="001853F8">
        <w:rPr>
          <w:lang w:val="es-ES_tradnl"/>
        </w:rPr>
        <w:t>EUR/</w:t>
      </w:r>
      <w:proofErr w:type="spellStart"/>
      <w:r w:rsidRPr="001853F8">
        <w:rPr>
          <w:lang w:val="es-ES_tradnl"/>
        </w:rPr>
        <w:t>MWh.</w:t>
      </w:r>
      <w:proofErr w:type="spellEnd"/>
      <w:r w:rsidR="00E67527">
        <w:rPr>
          <w:lang w:val="es-ES_tradnl"/>
        </w:rPr>
        <w:t xml:space="preserve"> (</w:t>
      </w:r>
      <w:proofErr w:type="spellStart"/>
      <w:r w:rsidR="00E67527">
        <w:rPr>
          <w:lang w:val="es-ES_tradnl"/>
        </w:rPr>
        <w:t>GDfSuez</w:t>
      </w:r>
      <w:proofErr w:type="spellEnd"/>
      <w:r w:rsidR="00E67527">
        <w:rPr>
          <w:lang w:val="es-ES_tradnl"/>
        </w:rPr>
        <w:t xml:space="preserve"> 15.11)</w:t>
      </w:r>
    </w:p>
    <w:p w:rsidR="001853F8" w:rsidRPr="001853F8" w:rsidRDefault="001853F8" w:rsidP="00A85AE7">
      <w:pPr>
        <w:numPr>
          <w:ilvl w:val="0"/>
          <w:numId w:val="13"/>
        </w:numPr>
        <w:spacing w:before="100" w:beforeAutospacing="1" w:line="276" w:lineRule="auto"/>
        <w:ind w:left="284" w:hanging="284"/>
        <w:rPr>
          <w:lang w:val="es-ES_tradnl"/>
        </w:rPr>
      </w:pPr>
      <w:r w:rsidRPr="00A85AE7">
        <w:rPr>
          <w:b/>
          <w:lang w:val="es-ES_tradnl"/>
        </w:rPr>
        <w:t xml:space="preserve">La sueca </w:t>
      </w:r>
      <w:proofErr w:type="spellStart"/>
      <w:r w:rsidRPr="00A85AE7">
        <w:rPr>
          <w:b/>
          <w:lang w:val="es-ES_tradnl"/>
        </w:rPr>
        <w:t>Vattenfall</w:t>
      </w:r>
      <w:proofErr w:type="spellEnd"/>
      <w:r w:rsidRPr="00A85AE7">
        <w:rPr>
          <w:b/>
          <w:lang w:val="es-ES_tradnl"/>
        </w:rPr>
        <w:t xml:space="preserve"> considera tomar acciones legales contra el gobierno alemán por el cierre de las nucleares</w:t>
      </w:r>
      <w:r w:rsidRPr="001853F8">
        <w:rPr>
          <w:lang w:val="es-ES_tradnl"/>
        </w:rPr>
        <w:t xml:space="preserve">, aunque a la fecha no ha tomado acciones, espera que se le compense por las pérdidas que sufrirá por esta decisión de cierre. En cualquier caso la empresa mantendrá sus planes de renovables en el país. (GPR 10.11) </w:t>
      </w:r>
    </w:p>
    <w:p w:rsidR="001853F8" w:rsidRPr="00424D21" w:rsidRDefault="001853F8" w:rsidP="00424D21">
      <w:pPr>
        <w:numPr>
          <w:ilvl w:val="0"/>
          <w:numId w:val="13"/>
        </w:numPr>
        <w:spacing w:before="100" w:beforeAutospacing="1" w:line="276" w:lineRule="auto"/>
        <w:ind w:left="284" w:hanging="284"/>
        <w:rPr>
          <w:lang w:val="es-ES_tradnl"/>
        </w:rPr>
      </w:pPr>
      <w:r w:rsidRPr="001853F8">
        <w:rPr>
          <w:b/>
          <w:lang w:val="es-ES_tradnl"/>
        </w:rPr>
        <w:t xml:space="preserve">EDF </w:t>
      </w:r>
      <w:proofErr w:type="spellStart"/>
      <w:r w:rsidRPr="001853F8">
        <w:rPr>
          <w:b/>
          <w:lang w:val="es-ES_tradnl"/>
        </w:rPr>
        <w:t>Energy</w:t>
      </w:r>
      <w:proofErr w:type="spellEnd"/>
      <w:r w:rsidRPr="001853F8">
        <w:rPr>
          <w:b/>
          <w:lang w:val="es-ES_tradnl"/>
        </w:rPr>
        <w:t xml:space="preserve"> aumentará su inversión en nuclear en Gran Bretaña</w:t>
      </w:r>
      <w:r w:rsidRPr="00424D21">
        <w:rPr>
          <w:b/>
          <w:lang w:val="es-ES_tradnl"/>
        </w:rPr>
        <w:t xml:space="preserve">, </w:t>
      </w:r>
      <w:r w:rsidRPr="00424D21">
        <w:rPr>
          <w:lang w:val="es-ES_tradnl"/>
        </w:rPr>
        <w:t xml:space="preserve">para adoptar todas las medidas de seguridad impuestas en Gran Bretaña tras el desastre de Fukushima. Además anunció los planes para construir dos nuevos reactores nucleares de tercera generación en Somerset, que se prevé entren en funcionamiento en 2018, aunque puede que se retrase debido a la nueva legislación aprobada. (Electric.co, 16.12) </w:t>
      </w:r>
    </w:p>
    <w:p w:rsidR="001853F8" w:rsidRPr="00A85AE7" w:rsidRDefault="001853F8" w:rsidP="00424D21">
      <w:pPr>
        <w:numPr>
          <w:ilvl w:val="0"/>
          <w:numId w:val="13"/>
        </w:numPr>
        <w:spacing w:before="100" w:beforeAutospacing="1" w:line="276" w:lineRule="auto"/>
        <w:ind w:left="284" w:hanging="284"/>
        <w:rPr>
          <w:lang w:val="es-ES_tradnl"/>
        </w:rPr>
      </w:pPr>
      <w:r w:rsidRPr="001853F8">
        <w:rPr>
          <w:b/>
          <w:lang w:val="es-ES_tradnl"/>
        </w:rPr>
        <w:t xml:space="preserve">Según la oficina confederal de energía Suiza, el coste del desmantelamiento de los cinco reactores nucleares para 2034 asciende a 17.000 </w:t>
      </w:r>
      <w:proofErr w:type="spellStart"/>
      <w:r w:rsidRPr="001853F8">
        <w:rPr>
          <w:b/>
          <w:lang w:val="es-ES_tradnl"/>
        </w:rPr>
        <w:t>Mill</w:t>
      </w:r>
      <w:proofErr w:type="spellEnd"/>
      <w:r w:rsidRPr="001853F8">
        <w:rPr>
          <w:b/>
          <w:lang w:val="es-ES_tradnl"/>
        </w:rPr>
        <w:t>.</w:t>
      </w:r>
      <w:r w:rsidR="00770032">
        <w:rPr>
          <w:b/>
          <w:lang w:val="es-ES_tradnl"/>
        </w:rPr>
        <w:t xml:space="preserve"> </w:t>
      </w:r>
      <w:r w:rsidRPr="001853F8">
        <w:rPr>
          <w:b/>
          <w:lang w:val="es-ES_tradnl"/>
        </w:rPr>
        <w:t>EUR</w:t>
      </w:r>
      <w:r w:rsidRPr="00424D21">
        <w:rPr>
          <w:b/>
          <w:lang w:val="es-ES_tradnl"/>
        </w:rPr>
        <w:t xml:space="preserve">. </w:t>
      </w:r>
      <w:r w:rsidRPr="00424D21">
        <w:rPr>
          <w:lang w:val="es-ES_tradnl"/>
        </w:rPr>
        <w:t>Estas estimaciones se realizan cada 5 años y se tienen en cuenta factores como la inflación.</w:t>
      </w:r>
      <w:r w:rsidRPr="00424D21">
        <w:rPr>
          <w:b/>
          <w:lang w:val="es-ES_tradnl"/>
        </w:rPr>
        <w:t xml:space="preserve"> </w:t>
      </w:r>
      <w:r w:rsidRPr="00A85AE7">
        <w:rPr>
          <w:lang w:val="es-ES_tradnl"/>
        </w:rPr>
        <w:t>La próxima revisión se realizará en 2016. (EUE 02.12).</w:t>
      </w:r>
      <w:r w:rsidRPr="00424D21">
        <w:rPr>
          <w:b/>
          <w:lang w:val="es-ES_tradnl"/>
        </w:rPr>
        <w:t xml:space="preserve"> </w:t>
      </w:r>
      <w:r w:rsidRPr="001853F8">
        <w:rPr>
          <w:b/>
          <w:lang w:val="es-ES_tradnl"/>
        </w:rPr>
        <w:t xml:space="preserve">El gobierno suizo aprobó a mediados de diciembre la ley nuclear </w:t>
      </w:r>
      <w:r w:rsidRPr="00A85AE7">
        <w:rPr>
          <w:lang w:val="es-ES_tradnl"/>
        </w:rPr>
        <w:t xml:space="preserve">que establece los detalles de abandono de esta energía. (PIE 12.12) </w:t>
      </w:r>
    </w:p>
    <w:p w:rsidR="000322F5" w:rsidRDefault="000322F5" w:rsidP="00600C49">
      <w:pPr>
        <w:pStyle w:val="Ttulo3"/>
        <w:rPr>
          <w:lang w:val="es-ES_tradnl"/>
        </w:rPr>
      </w:pPr>
      <w:r>
        <w:rPr>
          <w:lang w:val="es-ES_tradnl"/>
        </w:rPr>
        <w:t>Europa – Gas</w:t>
      </w:r>
    </w:p>
    <w:p w:rsidR="001853F8" w:rsidRPr="001853F8" w:rsidRDefault="001853F8" w:rsidP="001853F8">
      <w:pPr>
        <w:numPr>
          <w:ilvl w:val="0"/>
          <w:numId w:val="13"/>
        </w:numPr>
        <w:spacing w:before="100" w:beforeAutospacing="1" w:line="276" w:lineRule="auto"/>
        <w:ind w:left="284" w:hanging="284"/>
        <w:rPr>
          <w:lang w:val="es-ES_tradnl"/>
        </w:rPr>
      </w:pPr>
      <w:r w:rsidRPr="001853F8">
        <w:rPr>
          <w:b/>
          <w:lang w:val="es-ES_tradnl"/>
        </w:rPr>
        <w:t xml:space="preserve">El Tribunal Constitucional francés ha suspendido el decreto del gobierno que congeló las tarifas de gas reguladas en octubre </w:t>
      </w:r>
      <w:r w:rsidRPr="001853F8">
        <w:rPr>
          <w:lang w:val="es-ES_tradnl"/>
        </w:rPr>
        <w:t xml:space="preserve">a pesar de que la fórmula tarifaria indicaba que era necesario un aumento del 8-10%. El Tribunal ha declarado que “el gobierno no ha respetado la ley y tiene un mes para subir los precios del gas para los clientes residenciales”. (Goldman </w:t>
      </w:r>
      <w:proofErr w:type="spellStart"/>
      <w:r w:rsidRPr="001853F8">
        <w:rPr>
          <w:lang w:val="es-ES_tradnl"/>
        </w:rPr>
        <w:t>Sachs</w:t>
      </w:r>
      <w:proofErr w:type="spellEnd"/>
      <w:r w:rsidRPr="001853F8">
        <w:rPr>
          <w:lang w:val="es-ES_tradnl"/>
        </w:rPr>
        <w:t xml:space="preserve"> 29.11). Pese a esta sentencia, el Ministro de Industria y el de Economía han declarado que van a hacer todo lo posible para evitar el aumento de los precios de gas residenciales este invierno</w:t>
      </w:r>
      <w:r w:rsidR="00770032">
        <w:rPr>
          <w:lang w:val="es-ES_tradnl"/>
        </w:rPr>
        <w:t>.</w:t>
      </w:r>
      <w:r w:rsidRPr="001853F8">
        <w:rPr>
          <w:lang w:val="es-ES_tradnl"/>
        </w:rPr>
        <w:t xml:space="preserve"> (</w:t>
      </w:r>
      <w:proofErr w:type="spellStart"/>
      <w:r w:rsidRPr="001853F8">
        <w:rPr>
          <w:lang w:val="es-ES_tradnl"/>
        </w:rPr>
        <w:t>Bloomberg</w:t>
      </w:r>
      <w:proofErr w:type="spellEnd"/>
      <w:r w:rsidRPr="001853F8">
        <w:rPr>
          <w:lang w:val="es-ES_tradnl"/>
        </w:rPr>
        <w:t xml:space="preserve"> 30.11).(EUE 02.12) </w:t>
      </w:r>
    </w:p>
    <w:p w:rsidR="001853F8" w:rsidRPr="001853F8" w:rsidRDefault="001853F8" w:rsidP="001853F8">
      <w:pPr>
        <w:numPr>
          <w:ilvl w:val="0"/>
          <w:numId w:val="13"/>
        </w:numPr>
        <w:spacing w:before="100" w:beforeAutospacing="1" w:line="276" w:lineRule="auto"/>
        <w:ind w:left="284" w:hanging="284"/>
        <w:rPr>
          <w:b/>
          <w:lang w:val="es-ES_tradnl"/>
        </w:rPr>
      </w:pPr>
      <w:r w:rsidRPr="001853F8">
        <w:rPr>
          <w:b/>
          <w:lang w:val="es-ES_tradnl"/>
        </w:rPr>
        <w:t xml:space="preserve">El operador de red estonio acuerda construir una terminal GNL en el puerto de Tallin, </w:t>
      </w:r>
      <w:r w:rsidRPr="001853F8">
        <w:rPr>
          <w:lang w:val="es-ES_tradnl"/>
        </w:rPr>
        <w:t>como medio para asegurarse la seguridad de suministro y reducir la dependencia del gas ruso. (EUE 16.12)</w:t>
      </w:r>
      <w:r w:rsidRPr="001853F8">
        <w:rPr>
          <w:b/>
          <w:lang w:val="es-ES_tradnl"/>
        </w:rPr>
        <w:t xml:space="preserve"> </w:t>
      </w:r>
    </w:p>
    <w:p w:rsidR="000322F5" w:rsidRDefault="000322F5" w:rsidP="00600C49">
      <w:pPr>
        <w:pStyle w:val="Ttulo3"/>
        <w:rPr>
          <w:lang w:val="es-ES_tradnl"/>
        </w:rPr>
      </w:pPr>
      <w:r>
        <w:rPr>
          <w:lang w:val="es-ES_tradnl"/>
        </w:rPr>
        <w:t>Norteamérica – Renovables y Medio Ambiente</w:t>
      </w:r>
    </w:p>
    <w:p w:rsidR="001853F8" w:rsidRPr="00424D21" w:rsidRDefault="001853F8" w:rsidP="00424D21">
      <w:pPr>
        <w:numPr>
          <w:ilvl w:val="0"/>
          <w:numId w:val="10"/>
        </w:numPr>
        <w:spacing w:before="100" w:beforeAutospacing="1" w:line="276" w:lineRule="auto"/>
        <w:ind w:left="284" w:hanging="284"/>
        <w:rPr>
          <w:rFonts w:asciiTheme="minorHAnsi" w:hAnsiTheme="minorHAnsi" w:cs="Arial"/>
        </w:rPr>
      </w:pPr>
      <w:r w:rsidRPr="00424D21">
        <w:rPr>
          <w:rFonts w:asciiTheme="minorHAnsi" w:hAnsiTheme="minorHAnsi" w:cs="Arial"/>
          <w:b/>
        </w:rPr>
        <w:t xml:space="preserve">La Casa Blanca está considerando un plan para permitir a las compañías que quieran construir proyectos de renovables en instalaciones de titularidad federal, firmar </w:t>
      </w:r>
      <w:proofErr w:type="spellStart"/>
      <w:r w:rsidRPr="00424D21">
        <w:rPr>
          <w:rFonts w:asciiTheme="minorHAnsi" w:hAnsiTheme="minorHAnsi" w:cs="Arial"/>
          <w:b/>
        </w:rPr>
        <w:t>PPAs</w:t>
      </w:r>
      <w:proofErr w:type="spellEnd"/>
      <w:r w:rsidRPr="00424D21">
        <w:rPr>
          <w:rFonts w:asciiTheme="minorHAnsi" w:hAnsiTheme="minorHAnsi" w:cs="Arial"/>
          <w:b/>
        </w:rPr>
        <w:t xml:space="preserve"> a 25 años con el Gobierno, para hacerlos económicamente más viables. </w:t>
      </w:r>
      <w:r w:rsidRPr="00424D21">
        <w:rPr>
          <w:rFonts w:asciiTheme="minorHAnsi" w:hAnsiTheme="minorHAnsi" w:cs="Arial"/>
        </w:rPr>
        <w:t xml:space="preserve">El límite actual son </w:t>
      </w:r>
      <w:proofErr w:type="spellStart"/>
      <w:r w:rsidRPr="00424D21">
        <w:rPr>
          <w:rFonts w:asciiTheme="minorHAnsi" w:hAnsiTheme="minorHAnsi" w:cs="Arial"/>
        </w:rPr>
        <w:t>PPAs</w:t>
      </w:r>
      <w:proofErr w:type="spellEnd"/>
      <w:r w:rsidRPr="00424D21">
        <w:rPr>
          <w:rFonts w:asciiTheme="minorHAnsi" w:hAnsiTheme="minorHAnsi" w:cs="Arial"/>
        </w:rPr>
        <w:t xml:space="preserve"> a 10 años, lo cual dificulta la financiación de los proyectos de renovables. Con la designación de estos proyectos como de “ahorro energético” se podría utilizar un nuevo tipo de contrato (ESPC) y así aumentar los </w:t>
      </w:r>
      <w:proofErr w:type="spellStart"/>
      <w:r w:rsidRPr="00424D21">
        <w:rPr>
          <w:rFonts w:asciiTheme="minorHAnsi" w:hAnsiTheme="minorHAnsi" w:cs="Arial"/>
        </w:rPr>
        <w:t>PPAs</w:t>
      </w:r>
      <w:proofErr w:type="spellEnd"/>
      <w:r w:rsidRPr="00424D21">
        <w:rPr>
          <w:rFonts w:asciiTheme="minorHAnsi" w:hAnsiTheme="minorHAnsi" w:cs="Arial"/>
        </w:rPr>
        <w:t xml:space="preserve"> a 25 años. (GPR 03.11) </w:t>
      </w:r>
    </w:p>
    <w:p w:rsidR="001853F8" w:rsidRPr="00424D21" w:rsidRDefault="001853F8" w:rsidP="00424D21">
      <w:pPr>
        <w:numPr>
          <w:ilvl w:val="0"/>
          <w:numId w:val="10"/>
        </w:numPr>
        <w:spacing w:before="100" w:beforeAutospacing="1" w:line="276" w:lineRule="auto"/>
        <w:ind w:left="284" w:hanging="284"/>
        <w:rPr>
          <w:rFonts w:asciiTheme="minorHAnsi" w:hAnsiTheme="minorHAnsi" w:cs="Arial"/>
        </w:rPr>
      </w:pPr>
      <w:r w:rsidRPr="00424D21">
        <w:rPr>
          <w:rFonts w:asciiTheme="minorHAnsi" w:hAnsiTheme="minorHAnsi" w:cs="Arial"/>
          <w:b/>
        </w:rPr>
        <w:t>Según MISO, las normas de la EPA podrían inducir el cierre de hasta 13.000</w:t>
      </w:r>
      <w:r w:rsidR="00770032">
        <w:rPr>
          <w:rFonts w:asciiTheme="minorHAnsi" w:hAnsiTheme="minorHAnsi" w:cs="Arial"/>
          <w:b/>
        </w:rPr>
        <w:t xml:space="preserve"> </w:t>
      </w:r>
      <w:r w:rsidRPr="00424D21">
        <w:rPr>
          <w:rFonts w:asciiTheme="minorHAnsi" w:hAnsiTheme="minorHAnsi" w:cs="Arial"/>
          <w:b/>
        </w:rPr>
        <w:t xml:space="preserve">MW de generación de carbón, </w:t>
      </w:r>
      <w:r w:rsidRPr="00424D21">
        <w:rPr>
          <w:rFonts w:asciiTheme="minorHAnsi" w:hAnsiTheme="minorHAnsi" w:cs="Arial"/>
        </w:rPr>
        <w:t>además de impulsar un incremento de los precios, amenazar a la fiabilidad de la red y los costes derivados de la sustitución del parque de generación. Las cuatro normas que requieren reducciones significativas en las emisiones son la “</w:t>
      </w:r>
      <w:proofErr w:type="spellStart"/>
      <w:r w:rsidRPr="00424D21">
        <w:rPr>
          <w:rFonts w:asciiTheme="minorHAnsi" w:hAnsiTheme="minorHAnsi" w:cs="Arial"/>
        </w:rPr>
        <w:t>cooling</w:t>
      </w:r>
      <w:proofErr w:type="spellEnd"/>
      <w:r w:rsidRPr="00424D21">
        <w:rPr>
          <w:rFonts w:asciiTheme="minorHAnsi" w:hAnsiTheme="minorHAnsi" w:cs="Arial"/>
        </w:rPr>
        <w:t xml:space="preserve"> </w:t>
      </w:r>
      <w:proofErr w:type="spellStart"/>
      <w:r w:rsidRPr="00424D21">
        <w:rPr>
          <w:rFonts w:asciiTheme="minorHAnsi" w:hAnsiTheme="minorHAnsi" w:cs="Arial"/>
        </w:rPr>
        <w:t>water</w:t>
      </w:r>
      <w:proofErr w:type="spellEnd"/>
      <w:r w:rsidRPr="00424D21">
        <w:rPr>
          <w:rFonts w:asciiTheme="minorHAnsi" w:hAnsiTheme="minorHAnsi" w:cs="Arial"/>
        </w:rPr>
        <w:t>”, “</w:t>
      </w:r>
      <w:proofErr w:type="spellStart"/>
      <w:r w:rsidRPr="00424D21">
        <w:rPr>
          <w:rFonts w:asciiTheme="minorHAnsi" w:hAnsiTheme="minorHAnsi" w:cs="Arial"/>
        </w:rPr>
        <w:t>coal</w:t>
      </w:r>
      <w:proofErr w:type="spellEnd"/>
      <w:r w:rsidRPr="00424D21">
        <w:rPr>
          <w:rFonts w:asciiTheme="minorHAnsi" w:hAnsiTheme="minorHAnsi" w:cs="Arial"/>
        </w:rPr>
        <w:t xml:space="preserve"> </w:t>
      </w:r>
      <w:proofErr w:type="spellStart"/>
      <w:r w:rsidRPr="00424D21">
        <w:rPr>
          <w:rFonts w:asciiTheme="minorHAnsi" w:hAnsiTheme="minorHAnsi" w:cs="Arial"/>
        </w:rPr>
        <w:t>residuals</w:t>
      </w:r>
      <w:proofErr w:type="spellEnd"/>
      <w:r w:rsidRPr="00424D21">
        <w:rPr>
          <w:rFonts w:asciiTheme="minorHAnsi" w:hAnsiTheme="minorHAnsi" w:cs="Arial"/>
        </w:rPr>
        <w:t xml:space="preserve"> and </w:t>
      </w:r>
      <w:proofErr w:type="spellStart"/>
      <w:r w:rsidRPr="00424D21">
        <w:rPr>
          <w:rFonts w:asciiTheme="minorHAnsi" w:hAnsiTheme="minorHAnsi" w:cs="Arial"/>
        </w:rPr>
        <w:t>mercury</w:t>
      </w:r>
      <w:proofErr w:type="spellEnd"/>
      <w:r w:rsidRPr="00424D21">
        <w:rPr>
          <w:rFonts w:asciiTheme="minorHAnsi" w:hAnsiTheme="minorHAnsi" w:cs="Arial"/>
        </w:rPr>
        <w:t>”, “</w:t>
      </w:r>
      <w:proofErr w:type="spellStart"/>
      <w:r w:rsidRPr="00424D21">
        <w:rPr>
          <w:rFonts w:asciiTheme="minorHAnsi" w:hAnsiTheme="minorHAnsi" w:cs="Arial"/>
        </w:rPr>
        <w:t>other</w:t>
      </w:r>
      <w:proofErr w:type="spellEnd"/>
      <w:r w:rsidRPr="00424D21">
        <w:rPr>
          <w:rFonts w:asciiTheme="minorHAnsi" w:hAnsiTheme="minorHAnsi" w:cs="Arial"/>
        </w:rPr>
        <w:t xml:space="preserve"> air </w:t>
      </w:r>
      <w:proofErr w:type="spellStart"/>
      <w:r w:rsidRPr="00424D21">
        <w:rPr>
          <w:rFonts w:asciiTheme="minorHAnsi" w:hAnsiTheme="minorHAnsi" w:cs="Arial"/>
        </w:rPr>
        <w:t>toxics</w:t>
      </w:r>
      <w:proofErr w:type="spellEnd"/>
      <w:r w:rsidRPr="00424D21">
        <w:rPr>
          <w:rFonts w:asciiTheme="minorHAnsi" w:hAnsiTheme="minorHAnsi" w:cs="Arial"/>
        </w:rPr>
        <w:t xml:space="preserve">” y la “Cross </w:t>
      </w:r>
      <w:proofErr w:type="spellStart"/>
      <w:r w:rsidRPr="00424D21">
        <w:rPr>
          <w:rFonts w:asciiTheme="minorHAnsi" w:hAnsiTheme="minorHAnsi" w:cs="Arial"/>
        </w:rPr>
        <w:t>State</w:t>
      </w:r>
      <w:proofErr w:type="spellEnd"/>
      <w:r w:rsidRPr="00424D21">
        <w:rPr>
          <w:rFonts w:asciiTheme="minorHAnsi" w:hAnsiTheme="minorHAnsi" w:cs="Arial"/>
        </w:rPr>
        <w:t xml:space="preserve"> Air </w:t>
      </w:r>
      <w:proofErr w:type="spellStart"/>
      <w:r w:rsidRPr="00424D21">
        <w:rPr>
          <w:rFonts w:asciiTheme="minorHAnsi" w:hAnsiTheme="minorHAnsi" w:cs="Arial"/>
        </w:rPr>
        <w:t>Pollution</w:t>
      </w:r>
      <w:proofErr w:type="spellEnd"/>
      <w:r w:rsidRPr="00424D21">
        <w:rPr>
          <w:rFonts w:asciiTheme="minorHAnsi" w:hAnsiTheme="minorHAnsi" w:cs="Arial"/>
        </w:rPr>
        <w:t xml:space="preserve"> Rule (CSAPR)”.</w:t>
      </w:r>
      <w:r w:rsidR="00424D21">
        <w:rPr>
          <w:rFonts w:asciiTheme="minorHAnsi" w:hAnsiTheme="minorHAnsi" w:cs="Arial"/>
        </w:rPr>
        <w:t xml:space="preserve"> </w:t>
      </w:r>
      <w:r w:rsidRPr="00424D21">
        <w:rPr>
          <w:rFonts w:asciiTheme="minorHAnsi" w:hAnsiTheme="minorHAnsi" w:cs="Arial"/>
        </w:rPr>
        <w:t>(</w:t>
      </w:r>
      <w:proofErr w:type="spellStart"/>
      <w:r w:rsidRPr="00424D21">
        <w:rPr>
          <w:rFonts w:asciiTheme="minorHAnsi" w:hAnsiTheme="minorHAnsi" w:cs="Arial"/>
        </w:rPr>
        <w:t>Planetark</w:t>
      </w:r>
      <w:proofErr w:type="spellEnd"/>
      <w:r w:rsidRPr="00424D21">
        <w:rPr>
          <w:rFonts w:asciiTheme="minorHAnsi" w:hAnsiTheme="minorHAnsi" w:cs="Arial"/>
        </w:rPr>
        <w:t xml:space="preserve"> 21.11)</w:t>
      </w:r>
      <w:r w:rsidR="00770032">
        <w:rPr>
          <w:rFonts w:asciiTheme="minorHAnsi" w:hAnsiTheme="minorHAnsi" w:cs="Arial"/>
        </w:rPr>
        <w:t>.</w:t>
      </w:r>
      <w:r w:rsidRPr="00424D21">
        <w:rPr>
          <w:rFonts w:asciiTheme="minorHAnsi" w:hAnsiTheme="minorHAnsi" w:cs="Arial"/>
        </w:rPr>
        <w:t xml:space="preserve"> Además</w:t>
      </w:r>
      <w:r w:rsidRPr="00424D21">
        <w:rPr>
          <w:rFonts w:asciiTheme="minorHAnsi" w:hAnsiTheme="minorHAnsi" w:cs="Arial"/>
          <w:b/>
        </w:rPr>
        <w:t xml:space="preserve"> el resto de ISO afirman que necesitan más tiempo para que el cumplimiento de las normas de la EPA no haga peligrar la fiabilidad del sistema: </w:t>
      </w:r>
      <w:r w:rsidRPr="00424D21">
        <w:rPr>
          <w:rFonts w:asciiTheme="minorHAnsi" w:hAnsiTheme="minorHAnsi" w:cs="Arial"/>
        </w:rPr>
        <w:t xml:space="preserve">afirman que sus principales preocupaciones son el tiempo y la incertidumbre. (MWD 01.12). Finalmente, un tribunal federal de EEUU retrasa la implementación de la normativa de la EPA sobre centrales de carbón, por lo que ésta no entrará en vigor el 1 de enero como estaba previsto. Esta norma establecía límites más estrictos sobre las emisiones de SO2 y </w:t>
      </w:r>
      <w:proofErr w:type="spellStart"/>
      <w:r w:rsidRPr="00424D21">
        <w:rPr>
          <w:rFonts w:asciiTheme="minorHAnsi" w:hAnsiTheme="minorHAnsi" w:cs="Arial"/>
        </w:rPr>
        <w:t>NOx</w:t>
      </w:r>
      <w:proofErr w:type="spellEnd"/>
      <w:r w:rsidRPr="00424D21">
        <w:rPr>
          <w:rFonts w:asciiTheme="minorHAnsi" w:hAnsiTheme="minorHAnsi" w:cs="Arial"/>
        </w:rPr>
        <w:t xml:space="preserve"> en las centrales de 27 estados como medida para proteger la salud de sus ciudadanos. (Planetark.org 03.01) </w:t>
      </w:r>
    </w:p>
    <w:p w:rsidR="001853F8" w:rsidRPr="00424D21" w:rsidRDefault="001853F8" w:rsidP="00424D21">
      <w:pPr>
        <w:numPr>
          <w:ilvl w:val="0"/>
          <w:numId w:val="10"/>
        </w:numPr>
        <w:spacing w:before="100" w:beforeAutospacing="1" w:line="276" w:lineRule="auto"/>
        <w:ind w:left="284" w:hanging="284"/>
        <w:rPr>
          <w:rFonts w:asciiTheme="minorHAnsi" w:hAnsiTheme="minorHAnsi" w:cs="Arial"/>
        </w:rPr>
      </w:pPr>
      <w:r w:rsidRPr="00424D21">
        <w:rPr>
          <w:rFonts w:asciiTheme="minorHAnsi" w:hAnsiTheme="minorHAnsi" w:cs="Arial"/>
          <w:b/>
        </w:rPr>
        <w:t xml:space="preserve">BPA pide que se estudie la disputa entre eólicas e hidráulicas: </w:t>
      </w:r>
      <w:r w:rsidRPr="00424D21">
        <w:rPr>
          <w:rFonts w:asciiTheme="minorHAnsi" w:hAnsiTheme="minorHAnsi" w:cs="Arial"/>
        </w:rPr>
        <w:t>la FERC ha encontrado indicios de que la política de la BPA de cortar eólicas cuando hay mucha agua es discriminatoria, y le pide el establecimiento de tarifas de transporte que proporcionen un acceso a ambos en las mismas condiciones.BPA ha solicitado una revisión de dicha decisión</w:t>
      </w:r>
      <w:r w:rsidR="00770032">
        <w:rPr>
          <w:rFonts w:asciiTheme="minorHAnsi" w:hAnsiTheme="minorHAnsi" w:cs="Arial"/>
        </w:rPr>
        <w:t>.</w:t>
      </w:r>
      <w:r w:rsidRPr="00424D21">
        <w:rPr>
          <w:rFonts w:asciiTheme="minorHAnsi" w:hAnsiTheme="minorHAnsi" w:cs="Arial"/>
        </w:rPr>
        <w:t xml:space="preserve"> (</w:t>
      </w:r>
      <w:proofErr w:type="spellStart"/>
      <w:r w:rsidRPr="00424D21">
        <w:rPr>
          <w:rFonts w:asciiTheme="minorHAnsi" w:hAnsiTheme="minorHAnsi" w:cs="Arial"/>
        </w:rPr>
        <w:t>energy</w:t>
      </w:r>
      <w:proofErr w:type="spellEnd"/>
      <w:r w:rsidRPr="00424D21">
        <w:rPr>
          <w:rFonts w:asciiTheme="minorHAnsi" w:hAnsiTheme="minorHAnsi" w:cs="Arial"/>
        </w:rPr>
        <w:t xml:space="preserve"> central 06.01) </w:t>
      </w:r>
    </w:p>
    <w:p w:rsidR="001853F8" w:rsidRPr="00424D21" w:rsidRDefault="001853F8" w:rsidP="00424D21">
      <w:pPr>
        <w:numPr>
          <w:ilvl w:val="0"/>
          <w:numId w:val="10"/>
        </w:numPr>
        <w:spacing w:before="100" w:beforeAutospacing="1" w:line="276" w:lineRule="auto"/>
        <w:ind w:left="284" w:hanging="284"/>
        <w:rPr>
          <w:rFonts w:asciiTheme="minorHAnsi" w:hAnsiTheme="minorHAnsi" w:cs="Arial"/>
        </w:rPr>
      </w:pPr>
      <w:r w:rsidRPr="00424D21">
        <w:rPr>
          <w:rFonts w:asciiTheme="minorHAnsi" w:hAnsiTheme="minorHAnsi" w:cs="Arial"/>
          <w:b/>
        </w:rPr>
        <w:t xml:space="preserve">Seis estados abandonan la Western </w:t>
      </w:r>
      <w:proofErr w:type="spellStart"/>
      <w:r w:rsidRPr="00424D21">
        <w:rPr>
          <w:rFonts w:asciiTheme="minorHAnsi" w:hAnsiTheme="minorHAnsi" w:cs="Arial"/>
          <w:b/>
        </w:rPr>
        <w:t>Climate</w:t>
      </w:r>
      <w:proofErr w:type="spellEnd"/>
      <w:r w:rsidRPr="00424D21">
        <w:rPr>
          <w:rFonts w:asciiTheme="minorHAnsi" w:hAnsiTheme="minorHAnsi" w:cs="Arial"/>
          <w:b/>
        </w:rPr>
        <w:t xml:space="preserve"> </w:t>
      </w:r>
      <w:proofErr w:type="spellStart"/>
      <w:r w:rsidRPr="00424D21">
        <w:rPr>
          <w:rFonts w:asciiTheme="minorHAnsi" w:hAnsiTheme="minorHAnsi" w:cs="Arial"/>
          <w:b/>
        </w:rPr>
        <w:t>Initiative</w:t>
      </w:r>
      <w:proofErr w:type="spellEnd"/>
      <w:r w:rsidRPr="00424D21">
        <w:rPr>
          <w:rFonts w:asciiTheme="minorHAnsi" w:hAnsiTheme="minorHAnsi" w:cs="Arial"/>
          <w:b/>
        </w:rPr>
        <w:t xml:space="preserve">, para unirse a otro grupo que promociona el CCS, la reducción de GEI y el uso de biomasa: </w:t>
      </w:r>
      <w:r w:rsidRPr="00424D21">
        <w:rPr>
          <w:rFonts w:asciiTheme="minorHAnsi" w:hAnsiTheme="minorHAnsi" w:cs="Arial"/>
        </w:rPr>
        <w:t xml:space="preserve">la WCI queda ahora sólo compuesta por California y 4 provincias canadienses. Estos seis estados han formado la organización North </w:t>
      </w:r>
      <w:proofErr w:type="spellStart"/>
      <w:r w:rsidRPr="00424D21">
        <w:rPr>
          <w:rFonts w:asciiTheme="minorHAnsi" w:hAnsiTheme="minorHAnsi" w:cs="Arial"/>
        </w:rPr>
        <w:t>America</w:t>
      </w:r>
      <w:proofErr w:type="spellEnd"/>
      <w:r w:rsidRPr="00424D21">
        <w:rPr>
          <w:rFonts w:asciiTheme="minorHAnsi" w:hAnsiTheme="minorHAnsi" w:cs="Arial"/>
        </w:rPr>
        <w:t xml:space="preserve"> 2050. (GPR 24.11) </w:t>
      </w:r>
    </w:p>
    <w:p w:rsidR="001853F8" w:rsidRPr="00424D21" w:rsidRDefault="001853F8" w:rsidP="001853F8">
      <w:pPr>
        <w:numPr>
          <w:ilvl w:val="0"/>
          <w:numId w:val="10"/>
        </w:numPr>
        <w:spacing w:before="100" w:beforeAutospacing="1" w:line="276" w:lineRule="auto"/>
        <w:ind w:left="284" w:hanging="284"/>
        <w:rPr>
          <w:rFonts w:asciiTheme="minorHAnsi" w:hAnsiTheme="minorHAnsi" w:cs="Arial"/>
        </w:rPr>
      </w:pPr>
      <w:r w:rsidRPr="001853F8">
        <w:rPr>
          <w:rFonts w:asciiTheme="minorHAnsi" w:hAnsiTheme="minorHAnsi" w:cs="Arial"/>
          <w:b/>
        </w:rPr>
        <w:t xml:space="preserve">A pesar del posible veto del nuevo Gobernador de New Jersey, los legisladores siguen trabajando en la elaboración de leyes que desactiven el recorte de los programas de energía limpia </w:t>
      </w:r>
      <w:r w:rsidRPr="00424D21">
        <w:rPr>
          <w:rFonts w:asciiTheme="minorHAnsi" w:hAnsiTheme="minorHAnsi" w:cs="Arial"/>
        </w:rPr>
        <w:t xml:space="preserve">que publicó el nuevo gobernador en junio. Así, el comité de Medioambiente aprobó a finales de noviembre una ley que aumentaría el RPS del 22,5% actual al 30%. (GPR 01.12) </w:t>
      </w:r>
    </w:p>
    <w:p w:rsidR="001853F8" w:rsidRPr="00424D21" w:rsidRDefault="001853F8" w:rsidP="001853F8">
      <w:pPr>
        <w:numPr>
          <w:ilvl w:val="0"/>
          <w:numId w:val="10"/>
        </w:numPr>
        <w:spacing w:before="100" w:beforeAutospacing="1" w:line="276" w:lineRule="auto"/>
        <w:ind w:left="284" w:hanging="284"/>
        <w:rPr>
          <w:rFonts w:asciiTheme="minorHAnsi" w:hAnsiTheme="minorHAnsi" w:cs="Arial"/>
          <w:b/>
        </w:rPr>
      </w:pPr>
      <w:r w:rsidRPr="001853F8">
        <w:rPr>
          <w:rFonts w:asciiTheme="minorHAnsi" w:hAnsiTheme="minorHAnsi" w:cs="Arial"/>
          <w:b/>
        </w:rPr>
        <w:t>El “</w:t>
      </w:r>
      <w:proofErr w:type="spellStart"/>
      <w:r w:rsidRPr="001853F8">
        <w:rPr>
          <w:rFonts w:asciiTheme="minorHAnsi" w:hAnsiTheme="minorHAnsi" w:cs="Arial"/>
          <w:b/>
        </w:rPr>
        <w:t>Clean</w:t>
      </w:r>
      <w:proofErr w:type="spellEnd"/>
      <w:r w:rsidRPr="001853F8">
        <w:rPr>
          <w:rFonts w:asciiTheme="minorHAnsi" w:hAnsiTheme="minorHAnsi" w:cs="Arial"/>
          <w:b/>
        </w:rPr>
        <w:t xml:space="preserve"> </w:t>
      </w:r>
      <w:proofErr w:type="spellStart"/>
      <w:r w:rsidRPr="001853F8">
        <w:rPr>
          <w:rFonts w:asciiTheme="minorHAnsi" w:hAnsiTheme="minorHAnsi" w:cs="Arial"/>
          <w:b/>
        </w:rPr>
        <w:t>Energy</w:t>
      </w:r>
      <w:proofErr w:type="spellEnd"/>
      <w:r w:rsidRPr="001853F8">
        <w:rPr>
          <w:rFonts w:asciiTheme="minorHAnsi" w:hAnsiTheme="minorHAnsi" w:cs="Arial"/>
          <w:b/>
        </w:rPr>
        <w:t xml:space="preserve"> Standard (CES)” diseñado por el Senador Jeff </w:t>
      </w:r>
      <w:proofErr w:type="spellStart"/>
      <w:r w:rsidRPr="001853F8">
        <w:rPr>
          <w:rFonts w:asciiTheme="minorHAnsi" w:hAnsiTheme="minorHAnsi" w:cs="Arial"/>
          <w:b/>
        </w:rPr>
        <w:t>Bingaman</w:t>
      </w:r>
      <w:proofErr w:type="spellEnd"/>
      <w:r w:rsidRPr="001853F8">
        <w:rPr>
          <w:rFonts w:asciiTheme="minorHAnsi" w:hAnsiTheme="minorHAnsi" w:cs="Arial"/>
          <w:b/>
        </w:rPr>
        <w:t xml:space="preserve"> para impulsar renovables y reducir las emisiones, </w:t>
      </w:r>
      <w:r w:rsidRPr="00424D21">
        <w:rPr>
          <w:rFonts w:asciiTheme="minorHAnsi" w:hAnsiTheme="minorHAnsi" w:cs="Arial"/>
          <w:b/>
        </w:rPr>
        <w:t>apenas tendría un impacto sobre el precio de la electricidad de los consumidores finales hasta 2022,</w:t>
      </w:r>
      <w:r w:rsidRPr="00424D21">
        <w:rPr>
          <w:rFonts w:asciiTheme="minorHAnsi" w:hAnsiTheme="minorHAnsi" w:cs="Arial"/>
        </w:rPr>
        <w:t xml:space="preserve"> según un estudio de la EIA, estimándose un aumento de los mismos a partir de 2035. Bajo este CES, todos los suministradores estarán obligados a cumplir con los objetivos limpios. El CES fija un objetivo de energías limpias del 45% para 2015, aumentando hasta el 95% para 2050. (EPD 01.12)</w:t>
      </w:r>
      <w:r w:rsidRPr="00424D21">
        <w:rPr>
          <w:rFonts w:asciiTheme="minorHAnsi" w:hAnsiTheme="minorHAnsi" w:cs="Arial"/>
          <w:b/>
        </w:rPr>
        <w:t xml:space="preserve"> </w:t>
      </w:r>
    </w:p>
    <w:p w:rsidR="000322F5" w:rsidRPr="000E1CC6" w:rsidRDefault="000322F5" w:rsidP="00600C49">
      <w:pPr>
        <w:pStyle w:val="Ttulo3"/>
      </w:pPr>
      <w:r w:rsidRPr="000E1CC6">
        <w:t xml:space="preserve">Norteamérica – </w:t>
      </w:r>
      <w:r w:rsidR="001853F8">
        <w:t>Regulación y legislación</w:t>
      </w:r>
    </w:p>
    <w:p w:rsidR="001853F8" w:rsidRPr="001853F8" w:rsidRDefault="001853F8" w:rsidP="001853F8">
      <w:pPr>
        <w:numPr>
          <w:ilvl w:val="0"/>
          <w:numId w:val="10"/>
        </w:numPr>
        <w:spacing w:before="100" w:beforeAutospacing="1" w:line="276" w:lineRule="auto"/>
        <w:ind w:left="284" w:hanging="284"/>
        <w:rPr>
          <w:rFonts w:asciiTheme="minorHAnsi" w:hAnsiTheme="minorHAnsi" w:cs="Arial"/>
          <w:b/>
        </w:rPr>
      </w:pPr>
      <w:r w:rsidRPr="001853F8">
        <w:rPr>
          <w:rFonts w:asciiTheme="minorHAnsi" w:hAnsiTheme="minorHAnsi" w:cs="Arial"/>
          <w:b/>
        </w:rPr>
        <w:t xml:space="preserve">Una nueva ley introducida en la Cámara baja amplia los poderes de la FERC en cuando a planificación de redes regionales de transporte: </w:t>
      </w:r>
      <w:r w:rsidRPr="001853F8">
        <w:rPr>
          <w:rFonts w:asciiTheme="minorHAnsi" w:hAnsiTheme="minorHAnsi" w:cs="Arial"/>
        </w:rPr>
        <w:t xml:space="preserve">esta ley es similar a las propuestas con antelación para modificar la Federal </w:t>
      </w:r>
      <w:proofErr w:type="spellStart"/>
      <w:r w:rsidRPr="001853F8">
        <w:rPr>
          <w:rFonts w:asciiTheme="minorHAnsi" w:hAnsiTheme="minorHAnsi" w:cs="Arial"/>
        </w:rPr>
        <w:t>Power</w:t>
      </w:r>
      <w:proofErr w:type="spellEnd"/>
      <w:r w:rsidRPr="001853F8">
        <w:rPr>
          <w:rFonts w:asciiTheme="minorHAnsi" w:hAnsiTheme="minorHAnsi" w:cs="Arial"/>
        </w:rPr>
        <w:t xml:space="preserve"> </w:t>
      </w:r>
      <w:proofErr w:type="spellStart"/>
      <w:r w:rsidRPr="001853F8">
        <w:rPr>
          <w:rFonts w:asciiTheme="minorHAnsi" w:hAnsiTheme="minorHAnsi" w:cs="Arial"/>
        </w:rPr>
        <w:t>Act</w:t>
      </w:r>
      <w:proofErr w:type="spellEnd"/>
      <w:r w:rsidRPr="001853F8">
        <w:rPr>
          <w:rFonts w:asciiTheme="minorHAnsi" w:hAnsiTheme="minorHAnsi" w:cs="Arial"/>
        </w:rPr>
        <w:t xml:space="preserve"> y permitir una ampliación de la jurisdicción de la FERC sobre Transporte. De ser aprobada, revocaría la autoridad del DOE en designar los corredores de transporte de interés nacional y le concedería a la FERC la autoridad para designarlos. (GPR 03.11)</w:t>
      </w:r>
      <w:r w:rsidRPr="001853F8">
        <w:rPr>
          <w:rFonts w:asciiTheme="minorHAnsi" w:hAnsiTheme="minorHAnsi" w:cs="Arial"/>
          <w:b/>
        </w:rPr>
        <w:t xml:space="preserve"> </w:t>
      </w:r>
    </w:p>
    <w:p w:rsidR="001853F8" w:rsidRPr="001853F8" w:rsidRDefault="001853F8" w:rsidP="001853F8">
      <w:pPr>
        <w:numPr>
          <w:ilvl w:val="0"/>
          <w:numId w:val="10"/>
        </w:numPr>
        <w:spacing w:before="100" w:beforeAutospacing="1" w:line="276" w:lineRule="auto"/>
        <w:ind w:left="284" w:hanging="284"/>
        <w:rPr>
          <w:rFonts w:asciiTheme="minorHAnsi" w:hAnsiTheme="minorHAnsi" w:cs="Arial"/>
        </w:rPr>
      </w:pPr>
      <w:r w:rsidRPr="001853F8">
        <w:rPr>
          <w:rFonts w:asciiTheme="minorHAnsi" w:hAnsiTheme="minorHAnsi" w:cs="Arial"/>
          <w:b/>
        </w:rPr>
        <w:t xml:space="preserve">La administración de Obama prepara revisar los préstamos a proyectos energéticos, </w:t>
      </w:r>
      <w:r w:rsidRPr="001853F8">
        <w:rPr>
          <w:rFonts w:asciiTheme="minorHAnsi" w:hAnsiTheme="minorHAnsi" w:cs="Arial"/>
        </w:rPr>
        <w:t xml:space="preserve">sobre todo después de que empresas como </w:t>
      </w:r>
      <w:proofErr w:type="spellStart"/>
      <w:r w:rsidRPr="001853F8">
        <w:rPr>
          <w:rFonts w:asciiTheme="minorHAnsi" w:hAnsiTheme="minorHAnsi" w:cs="Arial"/>
        </w:rPr>
        <w:t>Beacon</w:t>
      </w:r>
      <w:proofErr w:type="spellEnd"/>
      <w:r w:rsidRPr="001853F8">
        <w:rPr>
          <w:rFonts w:asciiTheme="minorHAnsi" w:hAnsiTheme="minorHAnsi" w:cs="Arial"/>
        </w:rPr>
        <w:t xml:space="preserve"> </w:t>
      </w:r>
      <w:proofErr w:type="spellStart"/>
      <w:r w:rsidRPr="001853F8">
        <w:rPr>
          <w:rFonts w:asciiTheme="minorHAnsi" w:hAnsiTheme="minorHAnsi" w:cs="Arial"/>
        </w:rPr>
        <w:t>Power</w:t>
      </w:r>
      <w:proofErr w:type="spellEnd"/>
      <w:r w:rsidRPr="001853F8">
        <w:rPr>
          <w:rFonts w:asciiTheme="minorHAnsi" w:hAnsiTheme="minorHAnsi" w:cs="Arial"/>
        </w:rPr>
        <w:t xml:space="preserve"> y </w:t>
      </w:r>
      <w:proofErr w:type="spellStart"/>
      <w:r w:rsidRPr="001853F8">
        <w:rPr>
          <w:rFonts w:asciiTheme="minorHAnsi" w:hAnsiTheme="minorHAnsi" w:cs="Arial"/>
        </w:rPr>
        <w:t>Solindra</w:t>
      </w:r>
      <w:proofErr w:type="spellEnd"/>
      <w:r w:rsidRPr="001853F8">
        <w:rPr>
          <w:rFonts w:asciiTheme="minorHAnsi" w:hAnsiTheme="minorHAnsi" w:cs="Arial"/>
        </w:rPr>
        <w:t xml:space="preserve">, a las que fueron concedidos, hayan entrado en bancarrota. Se revisarán los 28 préstamos que siguen vigentes y se espera que las conclusiones a la revisión se publiquen en febrero de 2012. (RER 28.11) </w:t>
      </w:r>
    </w:p>
    <w:p w:rsidR="000322F5" w:rsidRDefault="000322F5" w:rsidP="00600C49">
      <w:pPr>
        <w:pStyle w:val="Ttulo3"/>
        <w:rPr>
          <w:lang w:val="es-ES_tradnl"/>
        </w:rPr>
      </w:pPr>
      <w:r>
        <w:rPr>
          <w:lang w:val="es-ES_tradnl"/>
        </w:rPr>
        <w:t>Norteamérica – Redes y Garantía de suministro</w:t>
      </w:r>
    </w:p>
    <w:p w:rsidR="00AD737D" w:rsidRPr="00D66F22" w:rsidRDefault="00AD737D" w:rsidP="00AD737D">
      <w:pPr>
        <w:numPr>
          <w:ilvl w:val="0"/>
          <w:numId w:val="11"/>
        </w:numPr>
        <w:spacing w:before="100" w:beforeAutospacing="1" w:line="276" w:lineRule="auto"/>
        <w:ind w:left="284" w:hanging="284"/>
      </w:pPr>
      <w:r w:rsidRPr="00AD737D">
        <w:rPr>
          <w:b/>
        </w:rPr>
        <w:t xml:space="preserve">ERCOT quiere preparar un inventario de necesidad de capacidad de generación para los próximos años, </w:t>
      </w:r>
      <w:r w:rsidRPr="00D66F22">
        <w:t>y para ello está contactando con IPP y otros generadores con el objetivo de determinar con precisión la capacidad futura que se irá incorporando. En este sentido se está elaborando el informe SARA (</w:t>
      </w:r>
      <w:proofErr w:type="spellStart"/>
      <w:r w:rsidRPr="00D66F22">
        <w:t>Seasonal</w:t>
      </w:r>
      <w:proofErr w:type="spellEnd"/>
      <w:r w:rsidRPr="00D66F22">
        <w:t xml:space="preserve"> </w:t>
      </w:r>
      <w:proofErr w:type="spellStart"/>
      <w:r w:rsidRPr="00D66F22">
        <w:t>assessment</w:t>
      </w:r>
      <w:proofErr w:type="spellEnd"/>
      <w:r w:rsidRPr="00D66F22">
        <w:t xml:space="preserve"> of </w:t>
      </w:r>
      <w:proofErr w:type="spellStart"/>
      <w:r w:rsidRPr="00D66F22">
        <w:t>resource</w:t>
      </w:r>
      <w:proofErr w:type="spellEnd"/>
      <w:r w:rsidRPr="00D66F22">
        <w:t xml:space="preserve"> </w:t>
      </w:r>
      <w:proofErr w:type="spellStart"/>
      <w:r w:rsidRPr="00D66F22">
        <w:t>adequacy</w:t>
      </w:r>
      <w:proofErr w:type="spellEnd"/>
      <w:r w:rsidRPr="00D66F22">
        <w:t xml:space="preserve">) que publicará junto a los informes bianuales de Capacidad, Demanda y Reservas. (GPR 03.11) </w:t>
      </w:r>
    </w:p>
    <w:p w:rsidR="00AD737D" w:rsidRPr="00AD737D" w:rsidRDefault="00AD737D" w:rsidP="00AD737D">
      <w:pPr>
        <w:numPr>
          <w:ilvl w:val="0"/>
          <w:numId w:val="11"/>
        </w:numPr>
        <w:spacing w:before="100" w:beforeAutospacing="1" w:line="276" w:lineRule="auto"/>
        <w:ind w:left="284" w:hanging="284"/>
        <w:rPr>
          <w:b/>
        </w:rPr>
      </w:pPr>
      <w:r w:rsidRPr="00AD737D">
        <w:rPr>
          <w:b/>
        </w:rPr>
        <w:t xml:space="preserve">MISO le pide a la FERC que reconsidere la decisión sobre los pagos por las interconexiones de red: </w:t>
      </w:r>
      <w:r w:rsidRPr="00D66F22">
        <w:t>cuando FERC aprobó el cambio tarifario, aprobó dos posibles opciones. En la primera, el dueño de la red de transporte financiaría las mejoras de la red y el cliente mensualmente las iría pagando hasta la recuperación del 100% del coste. En esa primera opción se abonarían además costes de O&amp;M, amortización e impuestos, siendo muy criticada por los generadores eólicos. En la opción 2 sólo se retribuiría la inversión en extensión de la red.</w:t>
      </w:r>
      <w:r w:rsidR="00770032">
        <w:t xml:space="preserve"> </w:t>
      </w:r>
      <w:r w:rsidRPr="00D66F22">
        <w:t>(GPR 01.12)</w:t>
      </w:r>
      <w:r w:rsidRPr="00AD737D">
        <w:rPr>
          <w:b/>
        </w:rPr>
        <w:t xml:space="preserve"> </w:t>
      </w:r>
    </w:p>
    <w:p w:rsidR="00AD737D" w:rsidRPr="00D66F22" w:rsidRDefault="00AD737D" w:rsidP="00AD737D">
      <w:pPr>
        <w:numPr>
          <w:ilvl w:val="0"/>
          <w:numId w:val="11"/>
        </w:numPr>
        <w:spacing w:before="100" w:beforeAutospacing="1" w:line="276" w:lineRule="auto"/>
        <w:ind w:left="284" w:hanging="284"/>
      </w:pPr>
      <w:r w:rsidRPr="00AD737D">
        <w:rPr>
          <w:b/>
        </w:rPr>
        <w:t xml:space="preserve">La NERC afirma que la falta de recursos podría hacer peligrar la red de ISO NE y ERCOT: </w:t>
      </w:r>
      <w:r w:rsidRPr="00D66F22">
        <w:t>según sus estimaciones, el margen de reserva punta de ERCOT estará un 5% por debajo del mínimo del 15% en 2021, mientras que en ISO NE, el problema vendría de la retirada de unos 25</w:t>
      </w:r>
      <w:r w:rsidR="00770032">
        <w:t xml:space="preserve"> </w:t>
      </w:r>
      <w:r w:rsidRPr="00D66F22">
        <w:t>GW viejas centrales además de otras 37</w:t>
      </w:r>
      <w:r w:rsidR="00770032">
        <w:t xml:space="preserve"> </w:t>
      </w:r>
      <w:r w:rsidRPr="00D66F22">
        <w:t xml:space="preserve">GW de retiradas aceleradas por cumplimiento de la normativa de la EPA. (GPR 01.12) </w:t>
      </w:r>
    </w:p>
    <w:p w:rsidR="000322F5" w:rsidRPr="00447C34" w:rsidRDefault="000322F5" w:rsidP="00600C49">
      <w:pPr>
        <w:pStyle w:val="Ttulo3"/>
        <w:rPr>
          <w:lang w:val="es-ES_tradnl"/>
        </w:rPr>
      </w:pPr>
      <w:r>
        <w:rPr>
          <w:lang w:val="es-ES_tradnl"/>
        </w:rPr>
        <w:t>Resto del mundo – varios</w:t>
      </w:r>
    </w:p>
    <w:p w:rsidR="000322F5" w:rsidRPr="00E85289" w:rsidRDefault="00D66F22" w:rsidP="002B6CDF">
      <w:pPr>
        <w:numPr>
          <w:ilvl w:val="0"/>
          <w:numId w:val="12"/>
        </w:numPr>
        <w:spacing w:before="100" w:beforeAutospacing="1" w:line="276" w:lineRule="auto"/>
        <w:ind w:left="284" w:hanging="284"/>
      </w:pPr>
      <w:r w:rsidRPr="00D66F22">
        <w:rPr>
          <w:b/>
        </w:rPr>
        <w:t xml:space="preserve">China publica su libro blanco sobre políticas y acciones para combatir el cambio climático: </w:t>
      </w:r>
      <w:r w:rsidRPr="00D66F22">
        <w:t>en él se establecen los objetivos a cumplir para los próximos años además del refuerzo de las relaciones con la comunidad internacional y la participación en charlas internacionales sobre el asunto. (</w:t>
      </w:r>
      <w:proofErr w:type="spellStart"/>
      <w:r w:rsidRPr="00D66F22">
        <w:t>news</w:t>
      </w:r>
      <w:proofErr w:type="spellEnd"/>
      <w:r w:rsidRPr="00D66F22">
        <w:t xml:space="preserve"> </w:t>
      </w:r>
      <w:proofErr w:type="spellStart"/>
      <w:r w:rsidRPr="00D66F22">
        <w:t>xinhua</w:t>
      </w:r>
      <w:proofErr w:type="spellEnd"/>
      <w:r w:rsidRPr="00D66F22">
        <w:t xml:space="preserve"> 22.11) Además el gobierno chino estudia introducir una tasa al CO2 de 10 RMB/ton para controlar las emisiones. (</w:t>
      </w:r>
      <w:proofErr w:type="spellStart"/>
      <w:r w:rsidRPr="00D66F22">
        <w:t>point</w:t>
      </w:r>
      <w:proofErr w:type="spellEnd"/>
      <w:r w:rsidRPr="00D66F22">
        <w:t xml:space="preserve"> carbón 21.11)</w:t>
      </w:r>
    </w:p>
    <w:p w:rsidR="000322F5" w:rsidRDefault="000322F5" w:rsidP="00600C49">
      <w:pPr>
        <w:pStyle w:val="Ttulo2"/>
      </w:pPr>
      <w:r>
        <w:t>Dará que hablar…</w:t>
      </w:r>
    </w:p>
    <w:p w:rsidR="00675058" w:rsidRPr="00675058" w:rsidRDefault="00675058" w:rsidP="00675058">
      <w:pPr>
        <w:spacing w:before="100" w:beforeAutospacing="1" w:after="100" w:afterAutospacing="1" w:line="276" w:lineRule="auto"/>
        <w:rPr>
          <w:rFonts w:cs="Arial"/>
        </w:rPr>
      </w:pPr>
      <w:r w:rsidRPr="00675058">
        <w:rPr>
          <w:rFonts w:cs="Arial"/>
          <w:b/>
        </w:rPr>
        <w:t xml:space="preserve">Según la AIE, la producción futura de renovables requerirá un 20% de generación flexible de respaldo: </w:t>
      </w:r>
      <w:r w:rsidRPr="00675058">
        <w:rPr>
          <w:rFonts w:cs="Arial"/>
        </w:rPr>
        <w:t xml:space="preserve">Así, cada 5MW de renovable intermitente podría necesitar 1 MW de generación de respaldo flexible para mantener la fiabilidad de la red. (RER 14.11). </w:t>
      </w:r>
      <w:r w:rsidRPr="00675058">
        <w:rPr>
          <w:rFonts w:cs="Arial"/>
          <w:b/>
        </w:rPr>
        <w:t>La AIE estima asimismo que el apoyo a las renovables en 9 estados europeos es demasiado generoso</w:t>
      </w:r>
      <w:r w:rsidRPr="00675058">
        <w:rPr>
          <w:rFonts w:cs="Arial"/>
        </w:rPr>
        <w:t xml:space="preserve">. Esos países son Bélgica, República Checa, Grecia, Italia, Países Bajos, Suiza, Gran Bretaña, y sólo dos no son europeos, Brasil y Japón. Además el informe afirma que, de media, el sistema </w:t>
      </w:r>
      <w:proofErr w:type="spellStart"/>
      <w:r w:rsidRPr="00675058">
        <w:rPr>
          <w:rFonts w:cs="Arial"/>
        </w:rPr>
        <w:t>feed</w:t>
      </w:r>
      <w:proofErr w:type="spellEnd"/>
      <w:r w:rsidRPr="00675058">
        <w:rPr>
          <w:rFonts w:cs="Arial"/>
        </w:rPr>
        <w:t xml:space="preserve"> in es mejor que el sistema de certificados, al estimular de manera más efectiva el desarrollo de las renovables. (EUE 02.12) </w:t>
      </w:r>
    </w:p>
    <w:p w:rsidR="00675058" w:rsidRPr="00675058" w:rsidRDefault="00675058" w:rsidP="00675058">
      <w:pPr>
        <w:spacing w:before="100" w:beforeAutospacing="1" w:after="100" w:afterAutospacing="1" w:line="276" w:lineRule="auto"/>
        <w:rPr>
          <w:rFonts w:cs="Arial"/>
        </w:rPr>
      </w:pPr>
      <w:r w:rsidRPr="00675058">
        <w:rPr>
          <w:rFonts w:cs="Arial"/>
          <w:b/>
        </w:rPr>
        <w:t xml:space="preserve">KPMG publica un informe afirmando que el Reino Unido puede alcanzar su meta de reducción de CO2 en 2020 por 34.000 millones GBP menos de lo presupuestado.” </w:t>
      </w:r>
      <w:r w:rsidRPr="00675058">
        <w:rPr>
          <w:rFonts w:cs="Arial"/>
        </w:rPr>
        <w:t>El informe ‘</w:t>
      </w:r>
      <w:proofErr w:type="spellStart"/>
      <w:r w:rsidRPr="00675058">
        <w:rPr>
          <w:rFonts w:cs="Arial"/>
        </w:rPr>
        <w:t>Thinking</w:t>
      </w:r>
      <w:proofErr w:type="spellEnd"/>
      <w:r w:rsidRPr="00675058">
        <w:rPr>
          <w:rFonts w:cs="Arial"/>
        </w:rPr>
        <w:t xml:space="preserve"> </w:t>
      </w:r>
      <w:proofErr w:type="spellStart"/>
      <w:r w:rsidRPr="00675058">
        <w:rPr>
          <w:rFonts w:cs="Arial"/>
        </w:rPr>
        <w:t>about</w:t>
      </w:r>
      <w:proofErr w:type="spellEnd"/>
      <w:r w:rsidRPr="00675058">
        <w:rPr>
          <w:rFonts w:cs="Arial"/>
        </w:rPr>
        <w:t xml:space="preserve"> </w:t>
      </w:r>
      <w:proofErr w:type="spellStart"/>
      <w:r w:rsidRPr="00675058">
        <w:rPr>
          <w:rFonts w:cs="Arial"/>
        </w:rPr>
        <w:t>the</w:t>
      </w:r>
      <w:proofErr w:type="spellEnd"/>
      <w:r w:rsidRPr="00675058">
        <w:rPr>
          <w:rFonts w:cs="Arial"/>
        </w:rPr>
        <w:t xml:space="preserve"> </w:t>
      </w:r>
      <w:proofErr w:type="spellStart"/>
      <w:r w:rsidRPr="00675058">
        <w:rPr>
          <w:rFonts w:cs="Arial"/>
        </w:rPr>
        <w:t>Affordable</w:t>
      </w:r>
      <w:proofErr w:type="spellEnd"/>
      <w:r w:rsidRPr="00675058">
        <w:rPr>
          <w:rFonts w:cs="Arial"/>
        </w:rPr>
        <w:t xml:space="preserve">’ afirma que sería posible lograr los objetivos de reducción de emisiones con menores costes prescindiendo reduciendo el objetivo de de renovables, y en particular de la eólica offshore. El informe estima que “la política actual del gobierno costará 108.000 </w:t>
      </w:r>
      <w:r w:rsidR="00770032">
        <w:rPr>
          <w:rFonts w:cs="Arial"/>
        </w:rPr>
        <w:t>Mill.</w:t>
      </w:r>
      <w:r w:rsidRPr="00675058">
        <w:rPr>
          <w:rFonts w:cs="Arial"/>
        </w:rPr>
        <w:t xml:space="preserve"> GBP hasta el año 2020 (JP Morgan 07.11) </w:t>
      </w:r>
    </w:p>
    <w:p w:rsidR="000322F5" w:rsidRPr="000322F5" w:rsidRDefault="000322F5" w:rsidP="00600C49">
      <w:pPr>
        <w:pStyle w:val="Ttulo2"/>
        <w:rPr>
          <w:lang w:val="en-US"/>
        </w:rPr>
      </w:pPr>
      <w:r w:rsidRPr="000322F5">
        <w:rPr>
          <w:lang w:val="en-US"/>
        </w:rPr>
        <w:t>Glosario</w:t>
      </w:r>
    </w:p>
    <w:p w:rsidR="00675058" w:rsidRPr="00675058" w:rsidRDefault="00675058" w:rsidP="00675058">
      <w:pPr>
        <w:spacing w:before="100" w:beforeAutospacing="1" w:after="100" w:afterAutospacing="1" w:line="276" w:lineRule="auto"/>
        <w:rPr>
          <w:lang w:val="it-IT"/>
        </w:rPr>
      </w:pPr>
      <w:r w:rsidRPr="00675058">
        <w:rPr>
          <w:lang w:val="it-IT"/>
        </w:rPr>
        <w:t xml:space="preserve">AEEG: Autoritá per l'energia elettrica e il gas. Regulador energético italiano. </w:t>
      </w:r>
    </w:p>
    <w:p w:rsidR="00675058" w:rsidRPr="00675058" w:rsidRDefault="00675058" w:rsidP="00675058">
      <w:pPr>
        <w:spacing w:before="100" w:beforeAutospacing="1" w:after="100" w:afterAutospacing="1" w:line="276" w:lineRule="auto"/>
        <w:rPr>
          <w:lang w:val="it-IT"/>
        </w:rPr>
      </w:pPr>
      <w:r w:rsidRPr="00675058">
        <w:rPr>
          <w:lang w:val="it-IT"/>
        </w:rPr>
        <w:t xml:space="preserve">AIE: Agencia internacional de la Energía. (IEA, International Energy Agency) </w:t>
      </w:r>
    </w:p>
    <w:p w:rsidR="00675058" w:rsidRPr="00675058" w:rsidRDefault="00675058" w:rsidP="00675058">
      <w:pPr>
        <w:spacing w:before="100" w:beforeAutospacing="1" w:after="100" w:afterAutospacing="1" w:line="276" w:lineRule="auto"/>
        <w:rPr>
          <w:lang w:val="it-IT"/>
        </w:rPr>
      </w:pPr>
      <w:r w:rsidRPr="00675058">
        <w:rPr>
          <w:lang w:val="it-IT"/>
        </w:rPr>
        <w:t xml:space="preserve">BNA: Bundesnetzagentur, regulador alemán. </w:t>
      </w:r>
    </w:p>
    <w:p w:rsidR="00675058" w:rsidRPr="00675058" w:rsidRDefault="00675058" w:rsidP="00675058">
      <w:pPr>
        <w:spacing w:before="100" w:beforeAutospacing="1" w:after="100" w:afterAutospacing="1" w:line="276" w:lineRule="auto"/>
        <w:rPr>
          <w:lang w:val="it-IT"/>
        </w:rPr>
      </w:pPr>
      <w:r w:rsidRPr="00675058">
        <w:rPr>
          <w:lang w:val="it-IT"/>
        </w:rPr>
        <w:t xml:space="preserve">BPA: Bonneville Power Administration, Agencia federal que transporta y vende electricidad en ocho estados del oeste de EEUU: Washington, Oregon, Idaho, Montana, Wyoming, Utah, Nevada, y California. </w:t>
      </w:r>
    </w:p>
    <w:p w:rsidR="00675058" w:rsidRPr="00675058" w:rsidRDefault="00675058" w:rsidP="00675058">
      <w:pPr>
        <w:spacing w:before="100" w:beforeAutospacing="1" w:after="100" w:afterAutospacing="1" w:line="276" w:lineRule="auto"/>
        <w:rPr>
          <w:lang w:val="it-IT"/>
        </w:rPr>
      </w:pPr>
      <w:r w:rsidRPr="00675058">
        <w:rPr>
          <w:lang w:val="it-IT"/>
        </w:rPr>
        <w:t xml:space="preserve">CE: Comisión Europea. </w:t>
      </w:r>
    </w:p>
    <w:p w:rsidR="00675058" w:rsidRPr="00675058" w:rsidRDefault="00675058" w:rsidP="00675058">
      <w:pPr>
        <w:spacing w:before="100" w:beforeAutospacing="1" w:after="100" w:afterAutospacing="1" w:line="276" w:lineRule="auto"/>
        <w:rPr>
          <w:lang w:val="it-IT"/>
        </w:rPr>
      </w:pPr>
      <w:r w:rsidRPr="00675058">
        <w:rPr>
          <w:lang w:val="it-IT"/>
        </w:rPr>
        <w:t xml:space="preserve">CCS: Carbon capture and storage. Captura y almacenamiento de carbono. </w:t>
      </w:r>
    </w:p>
    <w:p w:rsidR="00675058" w:rsidRPr="00675058" w:rsidRDefault="00675058" w:rsidP="00675058">
      <w:pPr>
        <w:spacing w:before="100" w:beforeAutospacing="1" w:after="100" w:afterAutospacing="1" w:line="276" w:lineRule="auto"/>
        <w:rPr>
          <w:lang w:val="it-IT"/>
        </w:rPr>
      </w:pPr>
      <w:r w:rsidRPr="00675058">
        <w:rPr>
          <w:lang w:val="it-IT"/>
        </w:rPr>
        <w:t xml:space="preserve">CRE: Commission de régulation de l'énergie. Regulador de energía francés </w:t>
      </w:r>
    </w:p>
    <w:p w:rsidR="00675058" w:rsidRPr="00675058" w:rsidRDefault="00675058" w:rsidP="00675058">
      <w:pPr>
        <w:spacing w:before="100" w:beforeAutospacing="1" w:after="100" w:afterAutospacing="1" w:line="276" w:lineRule="auto"/>
        <w:rPr>
          <w:lang w:val="it-IT"/>
        </w:rPr>
      </w:pPr>
      <w:r w:rsidRPr="00675058">
        <w:rPr>
          <w:lang w:val="it-IT"/>
        </w:rPr>
        <w:t xml:space="preserve">CREG: Commission de régulation de l'électricité et du gaz. Comisión de regulación de electricidad y gas belga. </w:t>
      </w:r>
    </w:p>
    <w:p w:rsidR="00675058" w:rsidRPr="00675058" w:rsidRDefault="00675058" w:rsidP="00675058">
      <w:pPr>
        <w:spacing w:before="100" w:beforeAutospacing="1" w:after="100" w:afterAutospacing="1" w:line="276" w:lineRule="auto"/>
        <w:rPr>
          <w:lang w:val="it-IT"/>
        </w:rPr>
      </w:pPr>
      <w:r w:rsidRPr="00675058">
        <w:rPr>
          <w:lang w:val="it-IT"/>
        </w:rPr>
        <w:t xml:space="preserve">EDF: Electricité de France. </w:t>
      </w:r>
    </w:p>
    <w:p w:rsidR="00675058" w:rsidRPr="00675058" w:rsidRDefault="00675058" w:rsidP="00675058">
      <w:pPr>
        <w:spacing w:before="100" w:beforeAutospacing="1" w:after="100" w:afterAutospacing="1" w:line="276" w:lineRule="auto"/>
        <w:rPr>
          <w:lang w:val="it-IT"/>
        </w:rPr>
      </w:pPr>
      <w:r w:rsidRPr="00675058">
        <w:rPr>
          <w:lang w:val="it-IT"/>
        </w:rPr>
        <w:t xml:space="preserve">EIA: Energy information administration. </w:t>
      </w:r>
    </w:p>
    <w:p w:rsidR="00675058" w:rsidRPr="00675058" w:rsidRDefault="00675058" w:rsidP="00675058">
      <w:pPr>
        <w:spacing w:before="100" w:beforeAutospacing="1" w:after="100" w:afterAutospacing="1" w:line="276" w:lineRule="auto"/>
        <w:rPr>
          <w:lang w:val="it-IT"/>
        </w:rPr>
      </w:pPr>
      <w:r w:rsidRPr="00675058">
        <w:rPr>
          <w:lang w:val="it-IT"/>
        </w:rPr>
        <w:t xml:space="preserve">EPA: Environmental Protection Agency. Agencia de protección medioambiental estadounidense. </w:t>
      </w:r>
    </w:p>
    <w:p w:rsidR="00675058" w:rsidRPr="00675058" w:rsidRDefault="00675058" w:rsidP="00675058">
      <w:pPr>
        <w:spacing w:before="100" w:beforeAutospacing="1" w:after="100" w:afterAutospacing="1" w:line="276" w:lineRule="auto"/>
        <w:rPr>
          <w:lang w:val="it-IT"/>
        </w:rPr>
      </w:pPr>
      <w:r w:rsidRPr="00675058">
        <w:rPr>
          <w:lang w:val="it-IT"/>
        </w:rPr>
        <w:t>EPD: Electric Power Daily.</w:t>
      </w:r>
    </w:p>
    <w:p w:rsidR="00675058" w:rsidRPr="00675058" w:rsidRDefault="00675058" w:rsidP="00675058">
      <w:pPr>
        <w:spacing w:before="100" w:beforeAutospacing="1" w:after="100" w:afterAutospacing="1" w:line="276" w:lineRule="auto"/>
        <w:rPr>
          <w:lang w:val="it-IT"/>
        </w:rPr>
      </w:pPr>
      <w:r w:rsidRPr="00675058">
        <w:rPr>
          <w:lang w:val="it-IT"/>
        </w:rPr>
        <w:t xml:space="preserve">ERCOT: Electric Reliability Council of Texas. Operador de la red de gran parte de Texas. </w:t>
      </w:r>
    </w:p>
    <w:p w:rsidR="00675058" w:rsidRPr="00675058" w:rsidRDefault="00675058" w:rsidP="00675058">
      <w:pPr>
        <w:spacing w:before="100" w:beforeAutospacing="1" w:after="100" w:afterAutospacing="1" w:line="276" w:lineRule="auto"/>
        <w:rPr>
          <w:lang w:val="it-IT"/>
        </w:rPr>
      </w:pPr>
      <w:r w:rsidRPr="00675058">
        <w:rPr>
          <w:lang w:val="it-IT"/>
        </w:rPr>
        <w:t xml:space="preserve">ESPC: Energy savings performance contracts. </w:t>
      </w:r>
    </w:p>
    <w:p w:rsidR="00675058" w:rsidRPr="00675058" w:rsidRDefault="00675058" w:rsidP="00675058">
      <w:pPr>
        <w:spacing w:before="100" w:beforeAutospacing="1" w:after="100" w:afterAutospacing="1" w:line="276" w:lineRule="auto"/>
        <w:rPr>
          <w:lang w:val="it-IT"/>
        </w:rPr>
      </w:pPr>
      <w:r w:rsidRPr="00675058">
        <w:rPr>
          <w:lang w:val="it-IT"/>
        </w:rPr>
        <w:t xml:space="preserve">EU- ETS: Emission Trading System; Comercio de derechos de emisión europeos. </w:t>
      </w:r>
    </w:p>
    <w:p w:rsidR="00675058" w:rsidRPr="00675058" w:rsidRDefault="00675058" w:rsidP="00675058">
      <w:pPr>
        <w:spacing w:before="100" w:beforeAutospacing="1" w:after="100" w:afterAutospacing="1" w:line="276" w:lineRule="auto"/>
        <w:rPr>
          <w:lang w:val="it-IT"/>
        </w:rPr>
      </w:pPr>
      <w:r w:rsidRPr="00675058">
        <w:rPr>
          <w:lang w:val="it-IT"/>
        </w:rPr>
        <w:t xml:space="preserve">EUE: EU Energy, Platts. </w:t>
      </w:r>
    </w:p>
    <w:p w:rsidR="00675058" w:rsidRPr="00675058" w:rsidRDefault="00675058" w:rsidP="00675058">
      <w:pPr>
        <w:spacing w:before="100" w:beforeAutospacing="1" w:after="100" w:afterAutospacing="1" w:line="276" w:lineRule="auto"/>
        <w:rPr>
          <w:lang w:val="it-IT"/>
        </w:rPr>
      </w:pPr>
      <w:r w:rsidRPr="00675058">
        <w:rPr>
          <w:lang w:val="it-IT"/>
        </w:rPr>
        <w:t xml:space="preserve">EUR: Euro </w:t>
      </w:r>
    </w:p>
    <w:p w:rsidR="00675058" w:rsidRPr="00675058" w:rsidRDefault="00675058" w:rsidP="00675058">
      <w:pPr>
        <w:spacing w:before="100" w:beforeAutospacing="1" w:after="100" w:afterAutospacing="1" w:line="276" w:lineRule="auto"/>
        <w:rPr>
          <w:lang w:val="it-IT"/>
        </w:rPr>
      </w:pPr>
      <w:r w:rsidRPr="00675058">
        <w:rPr>
          <w:lang w:val="it-IT"/>
        </w:rPr>
        <w:t xml:space="preserve">FERC: Federal Energy Regulatory Commission. Comisión federal de regulación energética estadounidense. </w:t>
      </w:r>
    </w:p>
    <w:p w:rsidR="00675058" w:rsidRPr="00675058" w:rsidRDefault="00675058" w:rsidP="00675058">
      <w:pPr>
        <w:spacing w:before="100" w:beforeAutospacing="1" w:after="100" w:afterAutospacing="1" w:line="276" w:lineRule="auto"/>
        <w:rPr>
          <w:lang w:val="it-IT"/>
        </w:rPr>
      </w:pPr>
      <w:r w:rsidRPr="00675058">
        <w:rPr>
          <w:lang w:val="it-IT"/>
        </w:rPr>
        <w:t xml:space="preserve">FIT: Feed in tariffs. Tarifas fijas. </w:t>
      </w:r>
    </w:p>
    <w:p w:rsidR="00675058" w:rsidRPr="00675058" w:rsidRDefault="00675058" w:rsidP="00675058">
      <w:pPr>
        <w:spacing w:before="100" w:beforeAutospacing="1" w:after="100" w:afterAutospacing="1" w:line="276" w:lineRule="auto"/>
        <w:rPr>
          <w:lang w:val="it-IT"/>
        </w:rPr>
      </w:pPr>
      <w:r w:rsidRPr="00675058">
        <w:rPr>
          <w:lang w:val="it-IT"/>
        </w:rPr>
        <w:t xml:space="preserve">GBP: Great Britain Pounds. Libras esterlinas. </w:t>
      </w:r>
    </w:p>
    <w:p w:rsidR="00675058" w:rsidRPr="00675058" w:rsidRDefault="00675058" w:rsidP="00675058">
      <w:pPr>
        <w:spacing w:before="100" w:beforeAutospacing="1" w:after="100" w:afterAutospacing="1" w:line="276" w:lineRule="auto"/>
        <w:rPr>
          <w:lang w:val="it-IT"/>
        </w:rPr>
      </w:pPr>
      <w:r w:rsidRPr="00675058">
        <w:rPr>
          <w:lang w:val="it-IT"/>
        </w:rPr>
        <w:t xml:space="preserve">GEI: Gases de Efecto Invernadero </w:t>
      </w:r>
    </w:p>
    <w:p w:rsidR="00675058" w:rsidRPr="00675058" w:rsidRDefault="00675058" w:rsidP="00675058">
      <w:pPr>
        <w:spacing w:before="100" w:beforeAutospacing="1" w:after="100" w:afterAutospacing="1" w:line="276" w:lineRule="auto"/>
        <w:rPr>
          <w:lang w:val="it-IT"/>
        </w:rPr>
      </w:pPr>
      <w:r w:rsidRPr="00675058">
        <w:rPr>
          <w:lang w:val="it-IT"/>
        </w:rPr>
        <w:t xml:space="preserve">GNL: Gas natural licuado </w:t>
      </w:r>
    </w:p>
    <w:p w:rsidR="00675058" w:rsidRPr="00675058" w:rsidRDefault="00675058" w:rsidP="00675058">
      <w:pPr>
        <w:spacing w:before="100" w:beforeAutospacing="1" w:after="100" w:afterAutospacing="1" w:line="276" w:lineRule="auto"/>
        <w:rPr>
          <w:lang w:val="it-IT"/>
        </w:rPr>
      </w:pPr>
      <w:r w:rsidRPr="00675058">
        <w:rPr>
          <w:lang w:val="it-IT"/>
        </w:rPr>
        <w:t xml:space="preserve">GPR: Global Power Report, Platts. </w:t>
      </w:r>
    </w:p>
    <w:p w:rsidR="00675058" w:rsidRPr="00675058" w:rsidRDefault="00675058" w:rsidP="00675058">
      <w:pPr>
        <w:spacing w:before="100" w:beforeAutospacing="1" w:after="100" w:afterAutospacing="1" w:line="276" w:lineRule="auto"/>
        <w:rPr>
          <w:lang w:val="it-IT"/>
        </w:rPr>
      </w:pPr>
      <w:r w:rsidRPr="00675058">
        <w:rPr>
          <w:lang w:val="it-IT"/>
        </w:rPr>
        <w:t xml:space="preserve">HR: House of Representatives, Camara Baja de los EEUU. </w:t>
      </w:r>
    </w:p>
    <w:p w:rsidR="00675058" w:rsidRPr="00675058" w:rsidRDefault="00675058" w:rsidP="00675058">
      <w:pPr>
        <w:spacing w:before="100" w:beforeAutospacing="1" w:after="100" w:afterAutospacing="1" w:line="276" w:lineRule="auto"/>
        <w:rPr>
          <w:lang w:val="it-IT"/>
        </w:rPr>
      </w:pPr>
      <w:r w:rsidRPr="00675058">
        <w:rPr>
          <w:lang w:val="it-IT"/>
        </w:rPr>
        <w:t xml:space="preserve">IPP: Independent power producers. Generadores independientes. </w:t>
      </w:r>
    </w:p>
    <w:p w:rsidR="00675058" w:rsidRPr="00675058" w:rsidRDefault="00675058" w:rsidP="00675058">
      <w:pPr>
        <w:spacing w:before="100" w:beforeAutospacing="1" w:after="100" w:afterAutospacing="1" w:line="276" w:lineRule="auto"/>
        <w:rPr>
          <w:lang w:val="it-IT"/>
        </w:rPr>
      </w:pPr>
      <w:r w:rsidRPr="00675058">
        <w:rPr>
          <w:lang w:val="it-IT"/>
        </w:rPr>
        <w:t xml:space="preserve">ISO: Independent system operator. Operador independiente del sistema. </w:t>
      </w:r>
    </w:p>
    <w:p w:rsidR="00675058" w:rsidRPr="00675058" w:rsidRDefault="00675058" w:rsidP="00675058">
      <w:pPr>
        <w:spacing w:before="100" w:beforeAutospacing="1" w:after="100" w:afterAutospacing="1" w:line="276" w:lineRule="auto"/>
        <w:rPr>
          <w:lang w:val="it-IT"/>
        </w:rPr>
      </w:pPr>
      <w:r w:rsidRPr="00675058">
        <w:rPr>
          <w:lang w:val="it-IT"/>
        </w:rPr>
        <w:t xml:space="preserve">ISO NE: ISO New England. </w:t>
      </w:r>
    </w:p>
    <w:p w:rsidR="00675058" w:rsidRPr="00675058" w:rsidRDefault="00675058" w:rsidP="00675058">
      <w:pPr>
        <w:spacing w:before="100" w:beforeAutospacing="1" w:after="100" w:afterAutospacing="1" w:line="276" w:lineRule="auto"/>
        <w:rPr>
          <w:lang w:val="it-IT"/>
        </w:rPr>
      </w:pPr>
      <w:r w:rsidRPr="00675058">
        <w:rPr>
          <w:lang w:val="it-IT"/>
        </w:rPr>
        <w:t xml:space="preserve">MISO: Midwest independent system operator. Incluye gran parte de North Dakota, South Dakota, Nebraska, Minnesota, Iowa, Wisconsin, Illinois, Indiana, Michigan y partes deMontana, Mossouri, Kentucky y Ohio. </w:t>
      </w:r>
    </w:p>
    <w:p w:rsidR="00675058" w:rsidRPr="00675058" w:rsidRDefault="00675058" w:rsidP="00675058">
      <w:pPr>
        <w:spacing w:before="100" w:beforeAutospacing="1" w:after="100" w:afterAutospacing="1" w:line="276" w:lineRule="auto"/>
        <w:rPr>
          <w:lang w:val="it-IT"/>
        </w:rPr>
      </w:pPr>
      <w:r w:rsidRPr="00675058">
        <w:rPr>
          <w:lang w:val="it-IT"/>
        </w:rPr>
        <w:t xml:space="preserve">MWD: Megawatts daily. </w:t>
      </w:r>
    </w:p>
    <w:p w:rsidR="00675058" w:rsidRPr="00675058" w:rsidRDefault="00675058" w:rsidP="00675058">
      <w:pPr>
        <w:spacing w:before="100" w:beforeAutospacing="1" w:after="100" w:afterAutospacing="1" w:line="276" w:lineRule="auto"/>
        <w:rPr>
          <w:lang w:val="it-IT"/>
        </w:rPr>
      </w:pPr>
      <w:r w:rsidRPr="00675058">
        <w:rPr>
          <w:lang w:val="it-IT"/>
        </w:rPr>
        <w:t xml:space="preserve">NERC: North American Reliability Corporation. Asegura la estabilidad técnica de la red de transporte estadounidense, dividida en 8 zonas. </w:t>
      </w:r>
    </w:p>
    <w:p w:rsidR="00675058" w:rsidRPr="00675058" w:rsidRDefault="00675058" w:rsidP="00675058">
      <w:pPr>
        <w:spacing w:before="100" w:beforeAutospacing="1" w:after="100" w:afterAutospacing="1" w:line="276" w:lineRule="auto"/>
        <w:rPr>
          <w:lang w:val="it-IT"/>
        </w:rPr>
      </w:pPr>
      <w:r w:rsidRPr="00675058">
        <w:rPr>
          <w:lang w:val="it-IT"/>
        </w:rPr>
        <w:t xml:space="preserve">NOME: Nouvelle Organisation du Marché de l'Electricité. Ley de organización del mercado eléctrico francés. </w:t>
      </w:r>
    </w:p>
    <w:p w:rsidR="00675058" w:rsidRPr="00675058" w:rsidRDefault="00675058" w:rsidP="00675058">
      <w:pPr>
        <w:spacing w:before="100" w:beforeAutospacing="1" w:after="100" w:afterAutospacing="1" w:line="276" w:lineRule="auto"/>
        <w:rPr>
          <w:lang w:val="it-IT"/>
        </w:rPr>
      </w:pPr>
      <w:r w:rsidRPr="00675058">
        <w:rPr>
          <w:lang w:val="it-IT"/>
        </w:rPr>
        <w:t xml:space="preserve">PIE: Power in Europe, Platts </w:t>
      </w:r>
    </w:p>
    <w:p w:rsidR="00675058" w:rsidRPr="00675058" w:rsidRDefault="00675058" w:rsidP="00675058">
      <w:pPr>
        <w:spacing w:before="100" w:beforeAutospacing="1" w:after="100" w:afterAutospacing="1" w:line="276" w:lineRule="auto"/>
        <w:rPr>
          <w:lang w:val="it-IT"/>
        </w:rPr>
      </w:pPr>
      <w:r w:rsidRPr="00675058">
        <w:rPr>
          <w:lang w:val="it-IT"/>
        </w:rPr>
        <w:t xml:space="preserve">PJM Interconnection: Organización regional de transporte de electricidad (regional transmission organization -RTO) que coordina los movimientos de electricidad mayoristas en parte o en su totalidad de los siguientes estados: Delaware, Illinois, Indiana, Kentucky, Maryland, Michigan, New Jersey, North Carolina, Ohio, Pennsylvania, Tennessee, Virginia, West Virginia y el Distrito de Columbia. </w:t>
      </w:r>
    </w:p>
    <w:p w:rsidR="00675058" w:rsidRPr="00675058" w:rsidRDefault="00675058" w:rsidP="00675058">
      <w:pPr>
        <w:spacing w:before="100" w:beforeAutospacing="1" w:after="100" w:afterAutospacing="1" w:line="276" w:lineRule="auto"/>
        <w:rPr>
          <w:lang w:val="it-IT"/>
        </w:rPr>
      </w:pPr>
      <w:r w:rsidRPr="00675058">
        <w:rPr>
          <w:lang w:val="it-IT"/>
        </w:rPr>
        <w:t xml:space="preserve">PTC: Production tax credit. </w:t>
      </w:r>
    </w:p>
    <w:p w:rsidR="00675058" w:rsidRPr="00675058" w:rsidRDefault="00675058" w:rsidP="00675058">
      <w:pPr>
        <w:spacing w:before="100" w:beforeAutospacing="1" w:after="100" w:afterAutospacing="1" w:line="276" w:lineRule="auto"/>
        <w:rPr>
          <w:lang w:val="it-IT"/>
        </w:rPr>
      </w:pPr>
      <w:r w:rsidRPr="00675058">
        <w:rPr>
          <w:lang w:val="it-IT"/>
        </w:rPr>
        <w:t xml:space="preserve">PPA: Power Purchase Agreements. Acuerdos de compra de energía. </w:t>
      </w:r>
    </w:p>
    <w:p w:rsidR="00675058" w:rsidRPr="00675058" w:rsidRDefault="00675058" w:rsidP="00675058">
      <w:pPr>
        <w:spacing w:before="100" w:beforeAutospacing="1" w:after="100" w:afterAutospacing="1" w:line="276" w:lineRule="auto"/>
        <w:rPr>
          <w:lang w:val="it-IT"/>
        </w:rPr>
      </w:pPr>
      <w:r w:rsidRPr="00675058">
        <w:rPr>
          <w:lang w:val="it-IT"/>
        </w:rPr>
        <w:t xml:space="preserve">PUC: Public Utility Commission. Agencias que regulan a nivel estatal las utilities de servicios esenciales. </w:t>
      </w:r>
    </w:p>
    <w:p w:rsidR="00675058" w:rsidRPr="00675058" w:rsidRDefault="00675058" w:rsidP="00675058">
      <w:pPr>
        <w:spacing w:before="100" w:beforeAutospacing="1" w:after="100" w:afterAutospacing="1" w:line="276" w:lineRule="auto"/>
        <w:rPr>
          <w:lang w:val="it-IT"/>
        </w:rPr>
      </w:pPr>
      <w:r w:rsidRPr="00675058">
        <w:rPr>
          <w:lang w:val="it-IT"/>
        </w:rPr>
        <w:t xml:space="preserve">RER: Renewable Energy Report, Platts </w:t>
      </w:r>
    </w:p>
    <w:p w:rsidR="00675058" w:rsidRPr="00675058" w:rsidRDefault="00675058" w:rsidP="00675058">
      <w:pPr>
        <w:spacing w:before="100" w:beforeAutospacing="1" w:after="100" w:afterAutospacing="1" w:line="276" w:lineRule="auto"/>
        <w:rPr>
          <w:lang w:val="it-IT"/>
        </w:rPr>
      </w:pPr>
      <w:r w:rsidRPr="00675058">
        <w:rPr>
          <w:lang w:val="it-IT"/>
        </w:rPr>
        <w:t xml:space="preserve">RIIO: Revenue=Incentives +Innovation+Outputs. Sistema de regulación de redes. </w:t>
      </w:r>
    </w:p>
    <w:p w:rsidR="00675058" w:rsidRPr="00675058" w:rsidRDefault="00675058" w:rsidP="00675058">
      <w:pPr>
        <w:spacing w:before="100" w:beforeAutospacing="1" w:after="100" w:afterAutospacing="1" w:line="276" w:lineRule="auto"/>
        <w:rPr>
          <w:lang w:val="it-IT"/>
        </w:rPr>
      </w:pPr>
      <w:r w:rsidRPr="00675058">
        <w:rPr>
          <w:lang w:val="it-IT"/>
        </w:rPr>
        <w:t xml:space="preserve">RMB: Renmimbi, yuanes. </w:t>
      </w:r>
    </w:p>
    <w:p w:rsidR="00675058" w:rsidRPr="00675058" w:rsidRDefault="00675058" w:rsidP="00675058">
      <w:pPr>
        <w:spacing w:before="100" w:beforeAutospacing="1" w:after="100" w:afterAutospacing="1" w:line="276" w:lineRule="auto"/>
        <w:rPr>
          <w:lang w:val="it-IT"/>
        </w:rPr>
      </w:pPr>
      <w:r w:rsidRPr="00675058">
        <w:rPr>
          <w:lang w:val="it-IT"/>
        </w:rPr>
        <w:t xml:space="preserve">RPS: renewable portfolio standard. </w:t>
      </w:r>
    </w:p>
    <w:p w:rsidR="00675058" w:rsidRPr="00675058" w:rsidRDefault="00675058" w:rsidP="00675058">
      <w:pPr>
        <w:spacing w:before="100" w:beforeAutospacing="1" w:after="100" w:afterAutospacing="1" w:line="276" w:lineRule="auto"/>
        <w:rPr>
          <w:lang w:val="it-IT"/>
        </w:rPr>
      </w:pPr>
      <w:r w:rsidRPr="00675058">
        <w:rPr>
          <w:lang w:val="it-IT"/>
        </w:rPr>
        <w:t xml:space="preserve">USD: Dolar Americano </w:t>
      </w:r>
    </w:p>
    <w:p w:rsidR="000322F5" w:rsidRPr="00675058" w:rsidRDefault="00675058" w:rsidP="00675058">
      <w:pPr>
        <w:spacing w:before="100" w:beforeAutospacing="1" w:after="100" w:afterAutospacing="1" w:line="276" w:lineRule="auto"/>
        <w:rPr>
          <w:lang w:val="it-IT"/>
        </w:rPr>
      </w:pPr>
      <w:r w:rsidRPr="00675058">
        <w:rPr>
          <w:lang w:val="it-IT"/>
        </w:rPr>
        <w:t>WCI: Western Climate Initiative. Iniciativa de ciertas regiones y Estados de Norteamérica para luchar contra el cambio climático. (Arizona, California, Montana, New Mexico, Oregon, Utah, Washington, British Columbia, Manitoba, Ontario, and Quebec)</w:t>
      </w:r>
    </w:p>
    <w:sectPr w:rsidR="000322F5" w:rsidRPr="00675058" w:rsidSect="005276F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27" w:rsidRDefault="00E67527" w:rsidP="006A35D8">
      <w:r>
        <w:separator/>
      </w:r>
    </w:p>
  </w:endnote>
  <w:endnote w:type="continuationSeparator" w:id="0">
    <w:p w:rsidR="00E67527" w:rsidRDefault="00E67527" w:rsidP="006A35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E4" w:rsidRDefault="00185FE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80783547"/>
      <w:docPartObj>
        <w:docPartGallery w:val="Page Numbers (Bottom of Page)"/>
        <w:docPartUnique/>
      </w:docPartObj>
    </w:sdtPr>
    <w:sdtEndPr>
      <w:rPr>
        <w:szCs w:val="22"/>
      </w:rPr>
    </w:sdtEndPr>
    <w:sdtContent>
      <w:p w:rsidR="00E67527" w:rsidRPr="00CF0576" w:rsidRDefault="00D876F9" w:rsidP="00CF0576">
        <w:pPr>
          <w:pStyle w:val="Piedepgina"/>
          <w:tabs>
            <w:tab w:val="clear" w:pos="8504"/>
            <w:tab w:val="right" w:pos="8789"/>
          </w:tabs>
          <w:spacing w:after="0"/>
          <w:jc w:val="center"/>
          <w:rPr>
            <w:szCs w:val="20"/>
          </w:rPr>
        </w:pPr>
        <w:r w:rsidRPr="00CF0576">
          <w:rPr>
            <w:szCs w:val="20"/>
          </w:rPr>
          <w:fldChar w:fldCharType="begin"/>
        </w:r>
        <w:r w:rsidR="00E67527" w:rsidRPr="00CF0576">
          <w:rPr>
            <w:szCs w:val="20"/>
          </w:rPr>
          <w:instrText xml:space="preserve"> PAGE   \* MERGEFORMAT </w:instrText>
        </w:r>
        <w:r w:rsidRPr="00CF0576">
          <w:rPr>
            <w:szCs w:val="20"/>
          </w:rPr>
          <w:fldChar w:fldCharType="separate"/>
        </w:r>
        <w:r w:rsidR="006827F9">
          <w:rPr>
            <w:noProof/>
            <w:szCs w:val="20"/>
          </w:rPr>
          <w:t>3</w:t>
        </w:r>
        <w:r w:rsidRPr="00CF0576">
          <w:rPr>
            <w:szCs w:val="20"/>
          </w:rPr>
          <w:fldChar w:fldCharType="end"/>
        </w:r>
        <w:r w:rsidR="00E67527" w:rsidRPr="00CF0576">
          <w:rPr>
            <w:szCs w:val="20"/>
          </w:rPr>
          <w:t xml:space="preserve"> </w:t>
        </w:r>
        <w:r w:rsidR="00E67527" w:rsidRPr="00CF0576">
          <w:rPr>
            <w:rStyle w:val="Nmerodepgina"/>
            <w:szCs w:val="20"/>
          </w:rPr>
          <w:t xml:space="preserve">de </w:t>
        </w:r>
        <w:r w:rsidRPr="00CF0576">
          <w:rPr>
            <w:rStyle w:val="Nmerodepgina"/>
            <w:szCs w:val="20"/>
          </w:rPr>
          <w:fldChar w:fldCharType="begin"/>
        </w:r>
        <w:r w:rsidR="00E67527" w:rsidRPr="00CF0576">
          <w:rPr>
            <w:rStyle w:val="Nmerodepgina"/>
            <w:szCs w:val="20"/>
          </w:rPr>
          <w:instrText xml:space="preserve"> NUMPAGES </w:instrText>
        </w:r>
        <w:r w:rsidRPr="00CF0576">
          <w:rPr>
            <w:rStyle w:val="Nmerodepgina"/>
            <w:szCs w:val="20"/>
          </w:rPr>
          <w:fldChar w:fldCharType="separate"/>
        </w:r>
        <w:r w:rsidR="006827F9">
          <w:rPr>
            <w:rStyle w:val="Nmerodepgina"/>
            <w:noProof/>
            <w:szCs w:val="20"/>
          </w:rPr>
          <w:t>11</w:t>
        </w:r>
        <w:r w:rsidRPr="00CF0576">
          <w:rPr>
            <w:rStyle w:val="Nmerodepgina"/>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E4" w:rsidRDefault="00185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27" w:rsidRDefault="00E67527" w:rsidP="006A35D8">
      <w:r>
        <w:separator/>
      </w:r>
    </w:p>
  </w:footnote>
  <w:footnote w:type="continuationSeparator" w:id="0">
    <w:p w:rsidR="00E67527" w:rsidRDefault="00E67527" w:rsidP="006A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E4" w:rsidRDefault="00185FE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27" w:rsidRDefault="00E67527" w:rsidP="006A35D8">
    <w:pPr>
      <w:pStyle w:val="Encabezado"/>
      <w:jc w:val="center"/>
    </w:pPr>
    <w:r>
      <w:rPr>
        <w:noProof/>
        <w:lang w:eastAsia="es-ES"/>
      </w:rPr>
      <w:drawing>
        <wp:inline distT="0" distB="0" distL="0" distR="0">
          <wp:extent cx="1248410" cy="7791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r w:rsidRPr="002D3467">
      <w:rPr>
        <w:rFonts w:ascii="Times New Roman" w:hAnsi="Times New Roman"/>
        <w:snapToGrid w:val="0"/>
        <w:color w:val="000000"/>
        <w:w w:val="0"/>
        <w:sz w:val="0"/>
        <w:szCs w:val="0"/>
        <w:u w:color="000000"/>
        <w:bdr w:val="none" w:sz="0" w:space="0" w:color="000000"/>
        <w:shd w:val="clear" w:color="000000" w:fill="000000"/>
      </w:rPr>
      <w:t xml:space="preserve"> </w:t>
    </w:r>
  </w:p>
  <w:p w:rsidR="00E67527" w:rsidRDefault="00E67527" w:rsidP="006A35D8">
    <w:pPr>
      <w:pStyle w:val="Encabezado"/>
      <w:jc w:val="center"/>
    </w:pPr>
  </w:p>
  <w:p w:rsidR="00E67527" w:rsidRDefault="00E67527" w:rsidP="006A35D8">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E4" w:rsidRDefault="00185F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409"/>
    <w:multiLevelType w:val="hybridMultilevel"/>
    <w:tmpl w:val="9CBEAEB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7D80A68"/>
    <w:multiLevelType w:val="hybridMultilevel"/>
    <w:tmpl w:val="CBA6435E"/>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5B09F2"/>
    <w:multiLevelType w:val="hybridMultilevel"/>
    <w:tmpl w:val="5E22C0E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D9001AE"/>
    <w:multiLevelType w:val="hybridMultilevel"/>
    <w:tmpl w:val="E32A66E0"/>
    <w:lvl w:ilvl="0" w:tplc="85F46870">
      <w:start w:val="1"/>
      <w:numFmt w:val="bullet"/>
      <w:pStyle w:val="Sinespaciad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561AE"/>
    <w:multiLevelType w:val="hybridMultilevel"/>
    <w:tmpl w:val="1E9CB0A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22C23471"/>
    <w:multiLevelType w:val="hybridMultilevel"/>
    <w:tmpl w:val="2898B732"/>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3EF477A"/>
    <w:multiLevelType w:val="hybridMultilevel"/>
    <w:tmpl w:val="B53EB8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2C6A3E"/>
    <w:multiLevelType w:val="hybridMultilevel"/>
    <w:tmpl w:val="1C38E37A"/>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5EB43F4"/>
    <w:multiLevelType w:val="hybridMultilevel"/>
    <w:tmpl w:val="7302A09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F6D7856"/>
    <w:multiLevelType w:val="hybridMultilevel"/>
    <w:tmpl w:val="902EB3A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62F294C"/>
    <w:multiLevelType w:val="hybridMultilevel"/>
    <w:tmpl w:val="E04C78C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482331AB"/>
    <w:multiLevelType w:val="hybridMultilevel"/>
    <w:tmpl w:val="31BAF46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82D3325"/>
    <w:multiLevelType w:val="hybridMultilevel"/>
    <w:tmpl w:val="B644F89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1"/>
  </w:num>
  <w:num w:numId="4">
    <w:abstractNumId w:val="10"/>
  </w:num>
  <w:num w:numId="5">
    <w:abstractNumId w:val="9"/>
  </w:num>
  <w:num w:numId="6">
    <w:abstractNumId w:val="2"/>
  </w:num>
  <w:num w:numId="7">
    <w:abstractNumId w:val="5"/>
  </w:num>
  <w:num w:numId="8">
    <w:abstractNumId w:val="12"/>
  </w:num>
  <w:num w:numId="9">
    <w:abstractNumId w:val="1"/>
  </w:num>
  <w:num w:numId="10">
    <w:abstractNumId w:val="7"/>
  </w:num>
  <w:num w:numId="11">
    <w:abstractNumId w:val="6"/>
  </w:num>
  <w:num w:numId="12">
    <w:abstractNumId w:val="8"/>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1D037C"/>
    <w:rsid w:val="00000AA6"/>
    <w:rsid w:val="000111EE"/>
    <w:rsid w:val="000144E0"/>
    <w:rsid w:val="0002147B"/>
    <w:rsid w:val="00024E2D"/>
    <w:rsid w:val="00030844"/>
    <w:rsid w:val="000322F5"/>
    <w:rsid w:val="0004383F"/>
    <w:rsid w:val="00044DF7"/>
    <w:rsid w:val="00081F85"/>
    <w:rsid w:val="000E6FD8"/>
    <w:rsid w:val="0010081F"/>
    <w:rsid w:val="001103F9"/>
    <w:rsid w:val="00120342"/>
    <w:rsid w:val="00134D73"/>
    <w:rsid w:val="00184D46"/>
    <w:rsid w:val="001853F8"/>
    <w:rsid w:val="00185FE4"/>
    <w:rsid w:val="001C63F2"/>
    <w:rsid w:val="001C747F"/>
    <w:rsid w:val="001D037C"/>
    <w:rsid w:val="001D2C58"/>
    <w:rsid w:val="001D7BD7"/>
    <w:rsid w:val="002059B7"/>
    <w:rsid w:val="00216695"/>
    <w:rsid w:val="00224954"/>
    <w:rsid w:val="00235905"/>
    <w:rsid w:val="00265165"/>
    <w:rsid w:val="00276FDB"/>
    <w:rsid w:val="002909CA"/>
    <w:rsid w:val="00297298"/>
    <w:rsid w:val="002B6CDF"/>
    <w:rsid w:val="002D3467"/>
    <w:rsid w:val="002D3561"/>
    <w:rsid w:val="002E1248"/>
    <w:rsid w:val="002E366F"/>
    <w:rsid w:val="002E3C29"/>
    <w:rsid w:val="002E5E34"/>
    <w:rsid w:val="002F67E7"/>
    <w:rsid w:val="00331275"/>
    <w:rsid w:val="003429D5"/>
    <w:rsid w:val="0035014B"/>
    <w:rsid w:val="0039498E"/>
    <w:rsid w:val="003953CA"/>
    <w:rsid w:val="003F1D3E"/>
    <w:rsid w:val="003F43B0"/>
    <w:rsid w:val="004026DD"/>
    <w:rsid w:val="004249E5"/>
    <w:rsid w:val="00424D21"/>
    <w:rsid w:val="004372E7"/>
    <w:rsid w:val="00444984"/>
    <w:rsid w:val="00460B97"/>
    <w:rsid w:val="00495563"/>
    <w:rsid w:val="00506A94"/>
    <w:rsid w:val="00511A5E"/>
    <w:rsid w:val="005276F6"/>
    <w:rsid w:val="00527934"/>
    <w:rsid w:val="005B058E"/>
    <w:rsid w:val="005B71F7"/>
    <w:rsid w:val="005C0907"/>
    <w:rsid w:val="00600C49"/>
    <w:rsid w:val="006332AF"/>
    <w:rsid w:val="00660838"/>
    <w:rsid w:val="00675058"/>
    <w:rsid w:val="006759D6"/>
    <w:rsid w:val="006827F9"/>
    <w:rsid w:val="00682B5F"/>
    <w:rsid w:val="00686469"/>
    <w:rsid w:val="006A35D8"/>
    <w:rsid w:val="006A3909"/>
    <w:rsid w:val="006C35BA"/>
    <w:rsid w:val="006D4B0E"/>
    <w:rsid w:val="006E1563"/>
    <w:rsid w:val="00741D2E"/>
    <w:rsid w:val="0074756B"/>
    <w:rsid w:val="00763821"/>
    <w:rsid w:val="00770032"/>
    <w:rsid w:val="007765B4"/>
    <w:rsid w:val="007A3BA5"/>
    <w:rsid w:val="007B603E"/>
    <w:rsid w:val="007B622D"/>
    <w:rsid w:val="007B76C4"/>
    <w:rsid w:val="007E0631"/>
    <w:rsid w:val="007F0BDB"/>
    <w:rsid w:val="007F0C1E"/>
    <w:rsid w:val="007F62B8"/>
    <w:rsid w:val="00822644"/>
    <w:rsid w:val="0082341C"/>
    <w:rsid w:val="0083462B"/>
    <w:rsid w:val="0085069C"/>
    <w:rsid w:val="00870DCB"/>
    <w:rsid w:val="008C3AD4"/>
    <w:rsid w:val="008C7211"/>
    <w:rsid w:val="008D2E18"/>
    <w:rsid w:val="008E1F63"/>
    <w:rsid w:val="008E20B9"/>
    <w:rsid w:val="00900D0C"/>
    <w:rsid w:val="00930434"/>
    <w:rsid w:val="009659F9"/>
    <w:rsid w:val="00973ECD"/>
    <w:rsid w:val="00976C89"/>
    <w:rsid w:val="00982605"/>
    <w:rsid w:val="00991101"/>
    <w:rsid w:val="009B5396"/>
    <w:rsid w:val="009F7497"/>
    <w:rsid w:val="00A16DE2"/>
    <w:rsid w:val="00A45DBD"/>
    <w:rsid w:val="00A654E5"/>
    <w:rsid w:val="00A85AE7"/>
    <w:rsid w:val="00AA3F4C"/>
    <w:rsid w:val="00AD45CA"/>
    <w:rsid w:val="00AD737D"/>
    <w:rsid w:val="00B00F78"/>
    <w:rsid w:val="00B6524E"/>
    <w:rsid w:val="00B9004C"/>
    <w:rsid w:val="00BA15A5"/>
    <w:rsid w:val="00BC49DA"/>
    <w:rsid w:val="00BD0002"/>
    <w:rsid w:val="00C101A6"/>
    <w:rsid w:val="00C261BA"/>
    <w:rsid w:val="00C275AD"/>
    <w:rsid w:val="00C52E86"/>
    <w:rsid w:val="00C63707"/>
    <w:rsid w:val="00C83A97"/>
    <w:rsid w:val="00C9656D"/>
    <w:rsid w:val="00CF0576"/>
    <w:rsid w:val="00D16F90"/>
    <w:rsid w:val="00D401EE"/>
    <w:rsid w:val="00D46215"/>
    <w:rsid w:val="00D53DBE"/>
    <w:rsid w:val="00D57B0C"/>
    <w:rsid w:val="00D66F22"/>
    <w:rsid w:val="00D80D14"/>
    <w:rsid w:val="00D876F9"/>
    <w:rsid w:val="00DC7678"/>
    <w:rsid w:val="00DE1C65"/>
    <w:rsid w:val="00E05833"/>
    <w:rsid w:val="00E05893"/>
    <w:rsid w:val="00E56501"/>
    <w:rsid w:val="00E67527"/>
    <w:rsid w:val="00E7599C"/>
    <w:rsid w:val="00E82FE1"/>
    <w:rsid w:val="00EB72B7"/>
    <w:rsid w:val="00EC00AA"/>
    <w:rsid w:val="00EC2CFC"/>
    <w:rsid w:val="00EC2E9E"/>
    <w:rsid w:val="00F00369"/>
    <w:rsid w:val="00F04C2B"/>
    <w:rsid w:val="00F14997"/>
    <w:rsid w:val="00F3772B"/>
    <w:rsid w:val="00F63F4C"/>
    <w:rsid w:val="00F64609"/>
    <w:rsid w:val="00F70B21"/>
    <w:rsid w:val="00F70BE9"/>
    <w:rsid w:val="00F7159E"/>
    <w:rsid w:val="00F747F0"/>
    <w:rsid w:val="00F86E68"/>
    <w:rsid w:val="00FC3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A"/>
    <w:pPr>
      <w:spacing w:after="120"/>
    </w:pPr>
    <w:rPr>
      <w:rFonts w:ascii="Calibri" w:eastAsia="Times New Roman" w:hAnsi="Calibri" w:cs="Times New Roman"/>
      <w:sz w:val="20"/>
    </w:rPr>
  </w:style>
  <w:style w:type="paragraph" w:styleId="Ttulo1">
    <w:name w:val="heading 1"/>
    <w:basedOn w:val="Normal"/>
    <w:next w:val="Normal"/>
    <w:link w:val="Ttulo1Car"/>
    <w:uiPriority w:val="9"/>
    <w:qFormat/>
    <w:rsid w:val="00B9004C"/>
    <w:pPr>
      <w:keepNext/>
      <w:keepLines/>
      <w:pBdr>
        <w:top w:val="single" w:sz="2" w:space="1" w:color="4F81BD"/>
        <w:left w:val="single" w:sz="2" w:space="4" w:color="4F81BD"/>
        <w:bottom w:val="single" w:sz="2" w:space="1" w:color="4F81BD"/>
        <w:right w:val="single" w:sz="2" w:space="4" w:color="4F81BD"/>
      </w:pBdr>
      <w:shd w:val="clear" w:color="auto" w:fill="548DD4" w:themeFill="text2" w:themeFillTint="99"/>
      <w:spacing w:before="480" w:line="360" w:lineRule="auto"/>
      <w:jc w:val="left"/>
      <w:outlineLvl w:val="0"/>
    </w:pPr>
    <w:rPr>
      <w:rFonts w:eastAsiaTheme="majorEastAsia" w:cstheme="majorBidi"/>
      <w:b/>
      <w:bCs/>
      <w:caps/>
      <w:color w:val="FFFFFF" w:themeColor="background1"/>
      <w:sz w:val="22"/>
    </w:rPr>
  </w:style>
  <w:style w:type="paragraph" w:styleId="Ttulo2">
    <w:name w:val="heading 2"/>
    <w:basedOn w:val="Normal"/>
    <w:next w:val="Normal"/>
    <w:link w:val="Ttulo2Car"/>
    <w:uiPriority w:val="9"/>
    <w:unhideWhenUsed/>
    <w:qFormat/>
    <w:rsid w:val="00B9004C"/>
    <w:pPr>
      <w:keepNext/>
      <w:pBdr>
        <w:top w:val="single" w:sz="24" w:space="0" w:color="DBE5F1"/>
        <w:left w:val="single" w:sz="24" w:space="0" w:color="DBE5F1"/>
        <w:bottom w:val="single" w:sz="24" w:space="0" w:color="DBE5F1"/>
        <w:right w:val="single" w:sz="24" w:space="0" w:color="DBE5F1"/>
      </w:pBdr>
      <w:shd w:val="clear" w:color="auto" w:fill="DBE5F1"/>
      <w:spacing w:before="360" w:line="276" w:lineRule="auto"/>
      <w:jc w:val="left"/>
      <w:outlineLvl w:val="1"/>
    </w:pPr>
    <w:rPr>
      <w:rFonts w:cs="Calibri"/>
      <w:caps/>
      <w:spacing w:val="15"/>
      <w:sz w:val="22"/>
    </w:rPr>
  </w:style>
  <w:style w:type="paragraph" w:styleId="Ttulo3">
    <w:name w:val="heading 3"/>
    <w:basedOn w:val="Normal"/>
    <w:next w:val="Normal"/>
    <w:link w:val="Ttulo3Car"/>
    <w:uiPriority w:val="9"/>
    <w:unhideWhenUsed/>
    <w:qFormat/>
    <w:rsid w:val="004372E7"/>
    <w:pPr>
      <w:keepNext/>
      <w:keepLines/>
      <w:spacing w:before="200" w:beforeAutospacing="1" w:afterAutospacing="1" w:line="360" w:lineRule="auto"/>
      <w:jc w:val="left"/>
      <w:outlineLvl w:val="2"/>
    </w:pPr>
    <w:rPr>
      <w:rFonts w:eastAsiaTheme="majorEastAsia" w:cstheme="majorBidi"/>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7C"/>
    <w:pPr>
      <w:ind w:left="720"/>
    </w:pPr>
    <w:rPr>
      <w:lang w:eastAsia="es-ES"/>
    </w:rPr>
  </w:style>
  <w:style w:type="character" w:styleId="Hipervnculo">
    <w:name w:val="Hyperlink"/>
    <w:basedOn w:val="Fuentedeprrafopredeter"/>
    <w:uiPriority w:val="99"/>
    <w:rsid w:val="0074756B"/>
    <w:rPr>
      <w:rFonts w:ascii="Times New Roman" w:hAnsi="Times New Roman" w:cs="Times New Roman"/>
      <w:color w:val="0000FF"/>
      <w:u w:val="single"/>
    </w:rPr>
  </w:style>
  <w:style w:type="paragraph" w:styleId="Textodeglobo">
    <w:name w:val="Balloon Text"/>
    <w:basedOn w:val="Normal"/>
    <w:link w:val="TextodegloboCar"/>
    <w:uiPriority w:val="99"/>
    <w:semiHidden/>
    <w:unhideWhenUsed/>
    <w:rsid w:val="002F6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E7"/>
    <w:rPr>
      <w:rFonts w:ascii="Tahoma" w:eastAsia="Times New Roman" w:hAnsi="Tahoma" w:cs="Tahoma"/>
      <w:sz w:val="16"/>
      <w:szCs w:val="16"/>
    </w:rPr>
  </w:style>
  <w:style w:type="paragraph" w:styleId="Encabezado">
    <w:name w:val="header"/>
    <w:basedOn w:val="Normal"/>
    <w:link w:val="EncabezadoCar"/>
    <w:uiPriority w:val="99"/>
    <w:semiHidden/>
    <w:unhideWhenUsed/>
    <w:rsid w:val="006A35D8"/>
    <w:pPr>
      <w:tabs>
        <w:tab w:val="center" w:pos="4252"/>
        <w:tab w:val="right" w:pos="8504"/>
      </w:tabs>
    </w:pPr>
  </w:style>
  <w:style w:type="character" w:customStyle="1" w:styleId="EncabezadoCar">
    <w:name w:val="Encabezado Car"/>
    <w:basedOn w:val="Fuentedeprrafopredeter"/>
    <w:link w:val="Encabezado"/>
    <w:uiPriority w:val="99"/>
    <w:semiHidden/>
    <w:rsid w:val="006A35D8"/>
    <w:rPr>
      <w:rFonts w:ascii="Calibri" w:eastAsia="Times New Roman" w:hAnsi="Calibri" w:cs="Times New Roman"/>
    </w:rPr>
  </w:style>
  <w:style w:type="paragraph" w:styleId="Piedepgina">
    <w:name w:val="footer"/>
    <w:basedOn w:val="Normal"/>
    <w:link w:val="PiedepginaCar"/>
    <w:uiPriority w:val="99"/>
    <w:unhideWhenUsed/>
    <w:rsid w:val="006A35D8"/>
    <w:pPr>
      <w:tabs>
        <w:tab w:val="center" w:pos="4252"/>
        <w:tab w:val="right" w:pos="8504"/>
      </w:tabs>
    </w:pPr>
  </w:style>
  <w:style w:type="character" w:customStyle="1" w:styleId="PiedepginaCar">
    <w:name w:val="Pie de página Car"/>
    <w:basedOn w:val="Fuentedeprrafopredeter"/>
    <w:link w:val="Piedepgina"/>
    <w:uiPriority w:val="99"/>
    <w:rsid w:val="006A35D8"/>
    <w:rPr>
      <w:rFonts w:ascii="Calibri" w:eastAsia="Times New Roman" w:hAnsi="Calibri" w:cs="Times New Roman"/>
    </w:rPr>
  </w:style>
  <w:style w:type="character" w:customStyle="1" w:styleId="Ttulo3Car">
    <w:name w:val="Título 3 Car"/>
    <w:basedOn w:val="Fuentedeprrafopredeter"/>
    <w:link w:val="Ttulo3"/>
    <w:uiPriority w:val="9"/>
    <w:rsid w:val="004372E7"/>
    <w:rPr>
      <w:rFonts w:ascii="Calibri" w:eastAsiaTheme="majorEastAsia" w:hAnsi="Calibri" w:cstheme="majorBidi"/>
      <w:b/>
      <w:bCs/>
      <w:i/>
      <w:sz w:val="20"/>
    </w:rPr>
  </w:style>
  <w:style w:type="paragraph" w:styleId="Sinespaciado">
    <w:name w:val="No Spacing"/>
    <w:aliases w:val="Viñetas"/>
    <w:uiPriority w:val="1"/>
    <w:qFormat/>
    <w:rsid w:val="008C7211"/>
    <w:pPr>
      <w:numPr>
        <w:numId w:val="1"/>
      </w:numPr>
      <w:spacing w:after="120"/>
    </w:pPr>
    <w:rPr>
      <w:rFonts w:ascii="Calibri" w:eastAsia="Times New Roman" w:hAnsi="Calibri" w:cs="Times New Roman"/>
      <w:sz w:val="20"/>
    </w:rPr>
  </w:style>
  <w:style w:type="character" w:customStyle="1" w:styleId="Ttulo1Car">
    <w:name w:val="Título 1 Car"/>
    <w:basedOn w:val="Fuentedeprrafopredeter"/>
    <w:link w:val="Ttulo1"/>
    <w:uiPriority w:val="9"/>
    <w:rsid w:val="00B9004C"/>
    <w:rPr>
      <w:rFonts w:ascii="Calibri" w:eastAsiaTheme="majorEastAsia" w:hAnsi="Calibri" w:cstheme="majorBidi"/>
      <w:b/>
      <w:bCs/>
      <w:caps/>
      <w:color w:val="FFFFFF" w:themeColor="background1"/>
      <w:shd w:val="clear" w:color="auto" w:fill="548DD4" w:themeFill="text2" w:themeFillTint="99"/>
    </w:rPr>
  </w:style>
  <w:style w:type="character" w:customStyle="1" w:styleId="Ttulo2Car">
    <w:name w:val="Título 2 Car"/>
    <w:basedOn w:val="Fuentedeprrafopredeter"/>
    <w:link w:val="Ttulo2"/>
    <w:uiPriority w:val="9"/>
    <w:rsid w:val="00B9004C"/>
    <w:rPr>
      <w:rFonts w:ascii="Calibri" w:eastAsia="Times New Roman" w:hAnsi="Calibri" w:cs="Calibri"/>
      <w:caps/>
      <w:spacing w:val="15"/>
      <w:shd w:val="clear" w:color="auto" w:fill="DBE5F1"/>
    </w:rPr>
  </w:style>
  <w:style w:type="character" w:styleId="Nmerodepgina">
    <w:name w:val="page number"/>
    <w:basedOn w:val="Fuentedeprrafopredeter"/>
    <w:rsid w:val="00CF0576"/>
  </w:style>
  <w:style w:type="paragraph" w:styleId="Textonotapie">
    <w:name w:val="footnote text"/>
    <w:basedOn w:val="Normal"/>
    <w:link w:val="TextonotapieCar"/>
    <w:semiHidden/>
    <w:rsid w:val="00F747F0"/>
    <w:rPr>
      <w:rFonts w:ascii="Arial" w:hAnsi="Arial"/>
      <w:szCs w:val="20"/>
      <w:lang w:eastAsia="es-ES"/>
    </w:rPr>
  </w:style>
  <w:style w:type="character" w:customStyle="1" w:styleId="TextonotapieCar">
    <w:name w:val="Texto nota pie Car"/>
    <w:basedOn w:val="Fuentedeprrafopredeter"/>
    <w:link w:val="Textonotapie"/>
    <w:semiHidden/>
    <w:rsid w:val="00F747F0"/>
    <w:rPr>
      <w:rFonts w:ascii="Arial" w:eastAsia="Times New Roman" w:hAnsi="Arial" w:cs="Times New Roman"/>
      <w:sz w:val="20"/>
      <w:szCs w:val="20"/>
      <w:lang w:eastAsia="es-ES"/>
    </w:rPr>
  </w:style>
  <w:style w:type="character" w:styleId="Refdenotaalpie">
    <w:name w:val="footnote reference"/>
    <w:basedOn w:val="Fuentedeprrafopredeter"/>
    <w:semiHidden/>
    <w:rsid w:val="00F747F0"/>
    <w:rPr>
      <w:vertAlign w:val="superscript"/>
    </w:rPr>
  </w:style>
  <w:style w:type="paragraph" w:customStyle="1" w:styleId="Default">
    <w:name w:val="Default"/>
    <w:rsid w:val="00E05893"/>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87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F72F-0680-47B3-963B-8E59CCE9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4492</Words>
  <Characters>23541</Characters>
  <Application>Microsoft Office Word</Application>
  <DocSecurity>0</DocSecurity>
  <Lines>347</Lines>
  <Paragraphs>116</Paragraphs>
  <ScaleCrop>false</ScaleCrop>
  <Company/>
  <LinksUpToDate>false</LinksUpToDate>
  <CharactersWithSpaces>28110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2012-01-20T09:17:00Z</dcterms:created>
  <dcterms:modified xsi:type="dcterms:W3CDTF">2012-01-20T09:17:00Z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AdHocReviewCycleID">
    <vt:i4>-1676904417</vt:i4>
  </property>
  <property fmtid="{D5CDD505-2E9C-101B-9397-08002B2CF9AE}" pid="4" name="_NewReviewCycle">
    <vt:lpwstr/>
  </property>
</Properties>
</file>